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18FF" w14:textId="7552AE66" w:rsidR="00624979" w:rsidRPr="00814A53" w:rsidRDefault="00CA6D59" w:rsidP="009C4C6C">
      <w:pPr>
        <w:spacing w:before="60" w:after="60" w:line="264" w:lineRule="auto"/>
        <w:jc w:val="center"/>
        <w:rPr>
          <w:rFonts w:ascii="Times New Roman" w:hAnsi="Times New Roman"/>
          <w:b/>
          <w:bCs/>
          <w:sz w:val="24"/>
          <w:szCs w:val="24"/>
        </w:rPr>
      </w:pPr>
      <w:bookmarkStart w:id="0" w:name="_Ref134982699"/>
      <w:bookmarkStart w:id="1" w:name="_Toc135319099"/>
      <w:bookmarkStart w:id="2" w:name="_Hlk155881201"/>
      <w:r>
        <w:rPr>
          <w:rFonts w:ascii="Times New Roman" w:hAnsi="Times New Roman"/>
          <w:b/>
          <w:bCs/>
          <w:sz w:val="24"/>
          <w:szCs w:val="24"/>
        </w:rPr>
        <w:t xml:space="preserve">NEVI </w:t>
      </w:r>
      <w:r w:rsidR="009C4C6C">
        <w:rPr>
          <w:rFonts w:ascii="Times New Roman" w:hAnsi="Times New Roman"/>
          <w:b/>
          <w:bCs/>
          <w:sz w:val="24"/>
          <w:szCs w:val="24"/>
        </w:rPr>
        <w:t>MEMORANDUM</w:t>
      </w:r>
      <w:r w:rsidR="009C4C6C" w:rsidRPr="00814A53">
        <w:rPr>
          <w:rFonts w:ascii="Times New Roman" w:hAnsi="Times New Roman"/>
          <w:b/>
          <w:bCs/>
          <w:sz w:val="24"/>
          <w:szCs w:val="24"/>
        </w:rPr>
        <w:t xml:space="preserve"> </w:t>
      </w:r>
      <w:r w:rsidR="00624979" w:rsidRPr="00814A53">
        <w:rPr>
          <w:rFonts w:ascii="Times New Roman" w:hAnsi="Times New Roman"/>
          <w:b/>
          <w:bCs/>
          <w:sz w:val="24"/>
          <w:szCs w:val="24"/>
        </w:rPr>
        <w:t>OF UNDERSTANDING</w:t>
      </w:r>
    </w:p>
    <w:p w14:paraId="31CBB85E" w14:textId="77777777" w:rsidR="00624979" w:rsidRPr="00814A53" w:rsidRDefault="00624979" w:rsidP="00624979">
      <w:pPr>
        <w:spacing w:before="60" w:after="60" w:line="264" w:lineRule="auto"/>
        <w:jc w:val="center"/>
        <w:rPr>
          <w:rFonts w:ascii="Times New Roman" w:hAnsi="Times New Roman"/>
          <w:b/>
          <w:sz w:val="24"/>
          <w:szCs w:val="24"/>
        </w:rPr>
      </w:pPr>
      <w:r w:rsidRPr="00814A53">
        <w:rPr>
          <w:rFonts w:ascii="Times New Roman" w:hAnsi="Times New Roman"/>
          <w:b/>
          <w:sz w:val="24"/>
          <w:szCs w:val="24"/>
        </w:rPr>
        <w:t>BETWEEN</w:t>
      </w:r>
    </w:p>
    <w:p w14:paraId="6F6CCC2E" w14:textId="7B5B25F7" w:rsidR="00624979" w:rsidRPr="00814A53" w:rsidRDefault="00BE5D1F" w:rsidP="00624979">
      <w:pPr>
        <w:spacing w:before="60" w:after="60" w:line="264" w:lineRule="auto"/>
        <w:jc w:val="center"/>
        <w:rPr>
          <w:rFonts w:ascii="Times New Roman" w:hAnsi="Times New Roman"/>
          <w:b/>
          <w:sz w:val="24"/>
          <w:szCs w:val="24"/>
        </w:rPr>
      </w:pPr>
      <w:r w:rsidRPr="00BE5D1F">
        <w:rPr>
          <w:rFonts w:ascii="Times New Roman" w:hAnsi="Times New Roman"/>
          <w:b/>
          <w:sz w:val="24"/>
          <w:szCs w:val="24"/>
          <w:highlight w:val="green"/>
        </w:rPr>
        <w:t>SPONSOR</w:t>
      </w:r>
    </w:p>
    <w:p w14:paraId="3BE1FF57" w14:textId="77777777" w:rsidR="00624979" w:rsidRPr="00814A53" w:rsidRDefault="00624979" w:rsidP="00624979">
      <w:pPr>
        <w:spacing w:before="60" w:after="60" w:line="264" w:lineRule="auto"/>
        <w:jc w:val="center"/>
        <w:rPr>
          <w:rFonts w:ascii="Times New Roman" w:hAnsi="Times New Roman"/>
          <w:b/>
          <w:sz w:val="24"/>
          <w:szCs w:val="24"/>
        </w:rPr>
      </w:pPr>
      <w:r w:rsidRPr="00814A53">
        <w:rPr>
          <w:rFonts w:ascii="Times New Roman" w:hAnsi="Times New Roman"/>
          <w:b/>
          <w:sz w:val="24"/>
          <w:szCs w:val="24"/>
        </w:rPr>
        <w:t>AND</w:t>
      </w:r>
    </w:p>
    <w:p w14:paraId="680D858B" w14:textId="01E649F7" w:rsidR="00624979" w:rsidRPr="00814A53" w:rsidRDefault="00BE5D1F" w:rsidP="00624979">
      <w:pPr>
        <w:spacing w:before="60" w:after="60" w:line="264" w:lineRule="auto"/>
        <w:jc w:val="center"/>
        <w:rPr>
          <w:rFonts w:ascii="Times New Roman" w:hAnsi="Times New Roman"/>
          <w:b/>
          <w:sz w:val="24"/>
          <w:szCs w:val="24"/>
        </w:rPr>
      </w:pPr>
      <w:r w:rsidRPr="00BE5D1F">
        <w:rPr>
          <w:rFonts w:ascii="Times New Roman" w:hAnsi="Times New Roman"/>
          <w:b/>
          <w:sz w:val="24"/>
          <w:szCs w:val="24"/>
          <w:highlight w:val="green"/>
        </w:rPr>
        <w:t>SITE HOST</w:t>
      </w:r>
    </w:p>
    <w:p w14:paraId="69C916A3" w14:textId="77777777" w:rsidR="00624979" w:rsidRPr="00814A53" w:rsidRDefault="00624979" w:rsidP="00624979">
      <w:pPr>
        <w:spacing w:before="60" w:after="60" w:line="264" w:lineRule="auto"/>
        <w:jc w:val="center"/>
        <w:rPr>
          <w:rFonts w:ascii="Times New Roman" w:hAnsi="Times New Roman"/>
          <w:sz w:val="24"/>
          <w:szCs w:val="24"/>
        </w:rPr>
      </w:pPr>
      <w:r w:rsidRPr="00814A53">
        <w:rPr>
          <w:rFonts w:ascii="Times New Roman" w:hAnsi="Times New Roman"/>
          <w:sz w:val="24"/>
          <w:szCs w:val="24"/>
        </w:rPr>
        <w:t>In Cooperation with the</w:t>
      </w:r>
    </w:p>
    <w:p w14:paraId="62764FB1" w14:textId="77777777" w:rsidR="00624979" w:rsidRPr="00814A53" w:rsidRDefault="00624979" w:rsidP="00624979">
      <w:pPr>
        <w:spacing w:before="60" w:after="60" w:line="264" w:lineRule="auto"/>
        <w:jc w:val="center"/>
        <w:rPr>
          <w:rFonts w:ascii="Times New Roman" w:hAnsi="Times New Roman"/>
          <w:sz w:val="24"/>
          <w:szCs w:val="24"/>
        </w:rPr>
      </w:pPr>
      <w:r w:rsidRPr="00814A53">
        <w:rPr>
          <w:rFonts w:ascii="Times New Roman" w:hAnsi="Times New Roman"/>
          <w:sz w:val="24"/>
          <w:szCs w:val="24"/>
        </w:rPr>
        <w:t>U.S. Department of Transportation, Federal Highway Administration</w:t>
      </w:r>
    </w:p>
    <w:p w14:paraId="6FDC2964" w14:textId="77777777" w:rsidR="00624979" w:rsidRPr="00814A53" w:rsidRDefault="00624979" w:rsidP="00624979">
      <w:pPr>
        <w:spacing w:before="60" w:after="60" w:line="264" w:lineRule="auto"/>
        <w:jc w:val="center"/>
        <w:rPr>
          <w:rFonts w:ascii="Times New Roman" w:hAnsi="Times New Roman"/>
          <w:b/>
          <w:bCs/>
          <w:sz w:val="24"/>
          <w:szCs w:val="24"/>
        </w:rPr>
      </w:pPr>
      <w:r w:rsidRPr="00814A53">
        <w:rPr>
          <w:rFonts w:ascii="Times New Roman" w:hAnsi="Times New Roman"/>
          <w:b/>
          <w:bCs/>
          <w:sz w:val="24"/>
          <w:szCs w:val="24"/>
        </w:rPr>
        <w:t>RELATIVE TO</w:t>
      </w:r>
    </w:p>
    <w:p w14:paraId="6C2CD756" w14:textId="7FF968B3" w:rsidR="00624979" w:rsidRPr="00814A53" w:rsidRDefault="00624979" w:rsidP="00624979">
      <w:pPr>
        <w:spacing w:before="60" w:after="60" w:line="264" w:lineRule="auto"/>
        <w:jc w:val="center"/>
        <w:rPr>
          <w:rFonts w:ascii="Times New Roman" w:hAnsi="Times New Roman"/>
          <w:b/>
          <w:bCs/>
          <w:caps/>
          <w:sz w:val="24"/>
          <w:szCs w:val="24"/>
        </w:rPr>
      </w:pPr>
      <w:r w:rsidRPr="00814A53">
        <w:rPr>
          <w:rFonts w:ascii="Times New Roman" w:hAnsi="Times New Roman"/>
          <w:b/>
          <w:bCs/>
          <w:caps/>
          <w:sz w:val="24"/>
          <w:szCs w:val="24"/>
        </w:rPr>
        <w:t>National Electric Vehicle Infrastructure Formula Program</w:t>
      </w:r>
      <w:r w:rsidR="007B3F16">
        <w:rPr>
          <w:rFonts w:ascii="Times New Roman" w:hAnsi="Times New Roman"/>
          <w:b/>
          <w:bCs/>
          <w:caps/>
          <w:sz w:val="24"/>
          <w:szCs w:val="24"/>
        </w:rPr>
        <w:t xml:space="preserve"> (NEVI)</w:t>
      </w:r>
    </w:p>
    <w:p w14:paraId="7EE61284" w14:textId="44736160" w:rsidR="007B3F16" w:rsidRPr="00C867AC" w:rsidRDefault="007B3F16" w:rsidP="00624979">
      <w:pPr>
        <w:spacing w:line="20" w:lineRule="atLeast"/>
        <w:jc w:val="both"/>
        <w:rPr>
          <w:rFonts w:ascii="Times New Roman" w:hAnsi="Times New Roman"/>
          <w:sz w:val="24"/>
          <w:szCs w:val="24"/>
        </w:rPr>
      </w:pPr>
      <w:r>
        <w:rPr>
          <w:rFonts w:ascii="Times New Roman" w:hAnsi="Times New Roman"/>
          <w:sz w:val="24"/>
          <w:szCs w:val="24"/>
        </w:rPr>
        <w:t xml:space="preserve">Implementation of </w:t>
      </w:r>
      <w:r w:rsidRPr="00BE5D1F">
        <w:rPr>
          <w:rFonts w:ascii="Times New Roman" w:hAnsi="Times New Roman"/>
          <w:b/>
          <w:bCs/>
          <w:sz w:val="24"/>
          <w:szCs w:val="24"/>
          <w:highlight w:val="green"/>
        </w:rPr>
        <w:t xml:space="preserve">Job </w:t>
      </w:r>
      <w:r w:rsidR="00BE5D1F">
        <w:rPr>
          <w:rFonts w:ascii="Times New Roman" w:hAnsi="Times New Roman"/>
          <w:b/>
          <w:bCs/>
          <w:sz w:val="24"/>
          <w:szCs w:val="24"/>
          <w:highlight w:val="green"/>
        </w:rPr>
        <w:t>XXXX</w:t>
      </w:r>
      <w:r w:rsidRPr="00BE5D1F">
        <w:rPr>
          <w:rFonts w:ascii="Times New Roman" w:hAnsi="Times New Roman"/>
          <w:b/>
          <w:bCs/>
          <w:sz w:val="24"/>
          <w:szCs w:val="24"/>
          <w:highlight w:val="green"/>
        </w:rPr>
        <w:t xml:space="preserve">, </w:t>
      </w:r>
      <w:r w:rsidR="00BE5D1F">
        <w:rPr>
          <w:rFonts w:ascii="Times New Roman" w:hAnsi="Times New Roman"/>
          <w:b/>
          <w:bCs/>
          <w:sz w:val="24"/>
          <w:szCs w:val="24"/>
          <w:highlight w:val="green"/>
        </w:rPr>
        <w:t>Job Name XXXX</w:t>
      </w:r>
      <w:r>
        <w:rPr>
          <w:rFonts w:ascii="Times New Roman" w:hAnsi="Times New Roman"/>
          <w:sz w:val="24"/>
          <w:szCs w:val="24"/>
        </w:rPr>
        <w:t xml:space="preserve"> (hereinafter called the “Project”) as an Arkansas NEVI project.</w:t>
      </w:r>
    </w:p>
    <w:p w14:paraId="288E0A57" w14:textId="28987BBB" w:rsidR="00D74D59" w:rsidRPr="00814A53" w:rsidRDefault="006D12CF" w:rsidP="00C867AC">
      <w:pPr>
        <w:spacing w:line="20" w:lineRule="atLeast"/>
        <w:jc w:val="both"/>
        <w:rPr>
          <w:rFonts w:ascii="Times New Roman" w:hAnsi="Times New Roman"/>
          <w:b/>
          <w:bCs/>
          <w:sz w:val="24"/>
          <w:szCs w:val="24"/>
        </w:rPr>
      </w:pPr>
      <w:r w:rsidRPr="00814A53">
        <w:rPr>
          <w:rFonts w:ascii="Times New Roman" w:hAnsi="Times New Roman"/>
          <w:sz w:val="24"/>
          <w:szCs w:val="24"/>
        </w:rPr>
        <w:t xml:space="preserve">This </w:t>
      </w:r>
      <w:r w:rsidR="007C6F49">
        <w:rPr>
          <w:rFonts w:ascii="Times New Roman" w:hAnsi="Times New Roman"/>
          <w:sz w:val="24"/>
          <w:szCs w:val="24"/>
        </w:rPr>
        <w:t>Memorandum of Understanding</w:t>
      </w:r>
      <w:r w:rsidRPr="00814A53">
        <w:rPr>
          <w:rFonts w:ascii="Times New Roman" w:hAnsi="Times New Roman"/>
          <w:sz w:val="24"/>
          <w:szCs w:val="24"/>
        </w:rPr>
        <w:t xml:space="preserve"> is made effective and </w:t>
      </w:r>
      <w:proofErr w:type="gramStart"/>
      <w:r w:rsidRPr="00814A53">
        <w:rPr>
          <w:rFonts w:ascii="Times New Roman" w:hAnsi="Times New Roman"/>
          <w:sz w:val="24"/>
          <w:szCs w:val="24"/>
        </w:rPr>
        <w:t>entered into</w:t>
      </w:r>
      <w:proofErr w:type="gramEnd"/>
      <w:r w:rsidRPr="00814A53">
        <w:rPr>
          <w:rFonts w:ascii="Times New Roman" w:hAnsi="Times New Roman"/>
          <w:sz w:val="24"/>
          <w:szCs w:val="24"/>
        </w:rPr>
        <w:t xml:space="preserve"> as of the date last signed by</w:t>
      </w:r>
      <w:r w:rsidR="007B3F16">
        <w:rPr>
          <w:rFonts w:ascii="Times New Roman" w:hAnsi="Times New Roman"/>
          <w:sz w:val="24"/>
          <w:szCs w:val="24"/>
        </w:rPr>
        <w:t xml:space="preserve"> </w:t>
      </w:r>
      <w:r w:rsidR="00BE5D1F" w:rsidRPr="00BE5D1F">
        <w:rPr>
          <w:rFonts w:ascii="Times New Roman" w:hAnsi="Times New Roman"/>
          <w:b/>
          <w:bCs/>
          <w:sz w:val="24"/>
          <w:szCs w:val="24"/>
          <w:highlight w:val="green"/>
        </w:rPr>
        <w:t>SPONSOR</w:t>
      </w:r>
      <w:r w:rsidRPr="00814A53">
        <w:rPr>
          <w:rFonts w:ascii="Times New Roman" w:hAnsi="Times New Roman"/>
          <w:sz w:val="24"/>
          <w:szCs w:val="24"/>
        </w:rPr>
        <w:t xml:space="preserve"> </w:t>
      </w:r>
      <w:r w:rsidR="007B3F16">
        <w:rPr>
          <w:rFonts w:ascii="Times New Roman" w:hAnsi="Times New Roman"/>
          <w:sz w:val="24"/>
          <w:szCs w:val="24"/>
        </w:rPr>
        <w:t>(</w:t>
      </w:r>
      <w:r w:rsidRPr="00814A53">
        <w:rPr>
          <w:rFonts w:ascii="Times New Roman" w:hAnsi="Times New Roman"/>
          <w:sz w:val="24"/>
          <w:szCs w:val="24"/>
        </w:rPr>
        <w:t xml:space="preserve">hereinafter </w:t>
      </w:r>
      <w:r w:rsidR="007B3F16">
        <w:rPr>
          <w:rFonts w:ascii="Times New Roman" w:hAnsi="Times New Roman"/>
          <w:sz w:val="24"/>
          <w:szCs w:val="24"/>
        </w:rPr>
        <w:t>called the</w:t>
      </w:r>
      <w:r w:rsidRPr="00814A53">
        <w:rPr>
          <w:rFonts w:ascii="Times New Roman" w:hAnsi="Times New Roman"/>
          <w:sz w:val="24"/>
          <w:szCs w:val="24"/>
        </w:rPr>
        <w:t xml:space="preserve"> </w:t>
      </w:r>
      <w:r>
        <w:rPr>
          <w:rFonts w:ascii="Times New Roman" w:hAnsi="Times New Roman"/>
          <w:sz w:val="24"/>
          <w:szCs w:val="24"/>
        </w:rPr>
        <w:t>“</w:t>
      </w:r>
      <w:r w:rsidR="002650D7">
        <w:rPr>
          <w:rFonts w:ascii="Times New Roman" w:hAnsi="Times New Roman"/>
          <w:sz w:val="24"/>
          <w:szCs w:val="24"/>
        </w:rPr>
        <w:t>Sponsor</w:t>
      </w:r>
      <w:r>
        <w:rPr>
          <w:rFonts w:ascii="Times New Roman" w:hAnsi="Times New Roman"/>
          <w:sz w:val="24"/>
          <w:szCs w:val="24"/>
        </w:rPr>
        <w:t>”</w:t>
      </w:r>
      <w:r w:rsidR="007B3F16">
        <w:rPr>
          <w:rFonts w:ascii="Times New Roman" w:hAnsi="Times New Roman"/>
          <w:sz w:val="24"/>
          <w:szCs w:val="24"/>
        </w:rPr>
        <w:t>)</w:t>
      </w:r>
      <w:r w:rsidRPr="00814A53">
        <w:rPr>
          <w:rFonts w:ascii="Times New Roman" w:hAnsi="Times New Roman"/>
          <w:sz w:val="24"/>
          <w:szCs w:val="24"/>
        </w:rPr>
        <w:t xml:space="preserve"> and</w:t>
      </w:r>
      <w:r w:rsidR="007B3F16">
        <w:rPr>
          <w:rFonts w:ascii="Times New Roman" w:hAnsi="Times New Roman"/>
          <w:sz w:val="24"/>
          <w:szCs w:val="24"/>
        </w:rPr>
        <w:t xml:space="preserve"> </w:t>
      </w:r>
      <w:r w:rsidR="00BE5D1F" w:rsidRPr="00BE5D1F">
        <w:rPr>
          <w:rFonts w:ascii="Times New Roman" w:hAnsi="Times New Roman"/>
          <w:b/>
          <w:bCs/>
          <w:sz w:val="24"/>
          <w:szCs w:val="24"/>
          <w:highlight w:val="green"/>
        </w:rPr>
        <w:t>SITE HOST</w:t>
      </w:r>
      <w:r w:rsidR="00C867AC">
        <w:rPr>
          <w:rFonts w:ascii="Times New Roman" w:hAnsi="Times New Roman"/>
          <w:b/>
          <w:bCs/>
          <w:sz w:val="24"/>
          <w:szCs w:val="24"/>
        </w:rPr>
        <w:t xml:space="preserve"> </w:t>
      </w:r>
      <w:r w:rsidR="007B3F16">
        <w:rPr>
          <w:rFonts w:ascii="Times New Roman" w:hAnsi="Times New Roman"/>
          <w:b/>
          <w:bCs/>
          <w:sz w:val="24"/>
          <w:szCs w:val="24"/>
        </w:rPr>
        <w:t>(</w:t>
      </w:r>
      <w:r w:rsidRPr="0080350C">
        <w:rPr>
          <w:rFonts w:ascii="Times New Roman" w:hAnsi="Times New Roman"/>
          <w:sz w:val="24"/>
          <w:szCs w:val="24"/>
        </w:rPr>
        <w:t xml:space="preserve">hereinafter </w:t>
      </w:r>
      <w:r w:rsidR="007B3F16">
        <w:rPr>
          <w:rFonts w:ascii="Times New Roman" w:hAnsi="Times New Roman"/>
          <w:sz w:val="24"/>
          <w:szCs w:val="24"/>
        </w:rPr>
        <w:t>called the</w:t>
      </w:r>
      <w:r w:rsidRPr="0080350C">
        <w:rPr>
          <w:rFonts w:ascii="Times New Roman" w:hAnsi="Times New Roman"/>
          <w:sz w:val="24"/>
          <w:szCs w:val="24"/>
        </w:rPr>
        <w:t xml:space="preserve"> “Site Host”</w:t>
      </w:r>
      <w:r w:rsidR="007B3F16">
        <w:rPr>
          <w:rFonts w:ascii="Times New Roman" w:hAnsi="Times New Roman"/>
          <w:sz w:val="24"/>
          <w:szCs w:val="24"/>
        </w:rPr>
        <w:t>)</w:t>
      </w:r>
      <w:r w:rsidRPr="00814A53">
        <w:rPr>
          <w:rFonts w:ascii="Times New Roman" w:hAnsi="Times New Roman"/>
          <w:b/>
          <w:bCs/>
          <w:sz w:val="24"/>
          <w:szCs w:val="24"/>
        </w:rPr>
        <w:t xml:space="preserve"> </w:t>
      </w:r>
      <w:r w:rsidRPr="00814A53">
        <w:rPr>
          <w:rFonts w:ascii="Times New Roman" w:hAnsi="Times New Roman"/>
          <w:sz w:val="24"/>
          <w:szCs w:val="24"/>
        </w:rPr>
        <w:t xml:space="preserve">and collectively known as </w:t>
      </w:r>
      <w:r w:rsidR="000F54B3">
        <w:rPr>
          <w:rFonts w:ascii="Times New Roman" w:hAnsi="Times New Roman"/>
          <w:sz w:val="24"/>
          <w:szCs w:val="24"/>
        </w:rPr>
        <w:t>the “</w:t>
      </w:r>
      <w:r w:rsidRPr="00814A53">
        <w:rPr>
          <w:rFonts w:ascii="Times New Roman" w:hAnsi="Times New Roman"/>
          <w:sz w:val="24"/>
          <w:szCs w:val="24"/>
        </w:rPr>
        <w:t>Parties</w:t>
      </w:r>
      <w:r w:rsidR="000F54B3">
        <w:rPr>
          <w:rFonts w:ascii="Times New Roman" w:hAnsi="Times New Roman"/>
          <w:sz w:val="24"/>
          <w:szCs w:val="24"/>
        </w:rPr>
        <w:t>”</w:t>
      </w:r>
      <w:r w:rsidRPr="00814A53">
        <w:rPr>
          <w:rFonts w:ascii="Times New Roman" w:hAnsi="Times New Roman"/>
          <w:sz w:val="24"/>
          <w:szCs w:val="24"/>
        </w:rPr>
        <w:t xml:space="preserve">. </w:t>
      </w:r>
    </w:p>
    <w:p w14:paraId="7C20205D" w14:textId="1035CE97" w:rsidR="00624979" w:rsidRPr="00814A53" w:rsidRDefault="00624979" w:rsidP="00624979">
      <w:pPr>
        <w:keepNext/>
        <w:keepLines/>
        <w:spacing w:line="20" w:lineRule="atLeast"/>
        <w:jc w:val="both"/>
        <w:outlineLvl w:val="0"/>
        <w:rPr>
          <w:rFonts w:ascii="Times New Roman" w:hAnsi="Times New Roman"/>
          <w:sz w:val="24"/>
          <w:szCs w:val="24"/>
        </w:rPr>
      </w:pPr>
      <w:r>
        <w:rPr>
          <w:rFonts w:ascii="Times New Roman" w:hAnsi="Times New Roman"/>
          <w:b/>
          <w:bCs/>
          <w:caps/>
          <w:sz w:val="24"/>
          <w:szCs w:val="24"/>
        </w:rPr>
        <w:t xml:space="preserve">The Arkansas Department of </w:t>
      </w:r>
      <w:r w:rsidR="007B3F16">
        <w:rPr>
          <w:rFonts w:ascii="Times New Roman" w:hAnsi="Times New Roman"/>
          <w:b/>
          <w:bCs/>
          <w:caps/>
          <w:sz w:val="24"/>
          <w:szCs w:val="24"/>
        </w:rPr>
        <w:t>Transportation’s</w:t>
      </w:r>
      <w:r w:rsidR="007B3F16" w:rsidRPr="00814A53">
        <w:rPr>
          <w:rFonts w:ascii="Times New Roman" w:hAnsi="Times New Roman"/>
          <w:b/>
          <w:bCs/>
          <w:caps/>
          <w:sz w:val="24"/>
          <w:szCs w:val="24"/>
        </w:rPr>
        <w:t xml:space="preserve"> </w:t>
      </w:r>
      <w:r w:rsidRPr="00814A53">
        <w:rPr>
          <w:rFonts w:ascii="Times New Roman" w:hAnsi="Times New Roman"/>
          <w:b/>
          <w:bCs/>
          <w:caps/>
          <w:sz w:val="24"/>
          <w:szCs w:val="24"/>
        </w:rPr>
        <w:t xml:space="preserve">Rights of </w:t>
      </w:r>
      <w:r w:rsidR="007B3F16">
        <w:rPr>
          <w:rFonts w:ascii="Times New Roman" w:hAnsi="Times New Roman"/>
          <w:b/>
          <w:bCs/>
          <w:caps/>
          <w:sz w:val="24"/>
          <w:szCs w:val="24"/>
        </w:rPr>
        <w:t>Access</w:t>
      </w:r>
      <w:r w:rsidR="007B3F16" w:rsidRPr="00814A53">
        <w:rPr>
          <w:rFonts w:ascii="Times New Roman" w:hAnsi="Times New Roman"/>
          <w:b/>
          <w:bCs/>
          <w:caps/>
          <w:sz w:val="24"/>
          <w:szCs w:val="24"/>
        </w:rPr>
        <w:t xml:space="preserve"> </w:t>
      </w:r>
      <w:r w:rsidRPr="00814A53">
        <w:rPr>
          <w:rFonts w:ascii="Times New Roman" w:hAnsi="Times New Roman"/>
          <w:b/>
          <w:bCs/>
          <w:caps/>
          <w:sz w:val="24"/>
          <w:szCs w:val="24"/>
        </w:rPr>
        <w:t>to E</w:t>
      </w:r>
      <w:r>
        <w:rPr>
          <w:rFonts w:ascii="Times New Roman" w:hAnsi="Times New Roman"/>
          <w:b/>
          <w:bCs/>
          <w:caps/>
          <w:sz w:val="24"/>
          <w:szCs w:val="24"/>
        </w:rPr>
        <w:t xml:space="preserve">lectric </w:t>
      </w:r>
      <w:r w:rsidR="007B3F16">
        <w:rPr>
          <w:rFonts w:ascii="Times New Roman" w:hAnsi="Times New Roman"/>
          <w:b/>
          <w:bCs/>
          <w:caps/>
          <w:sz w:val="24"/>
          <w:szCs w:val="24"/>
        </w:rPr>
        <w:t>Vehicle Supply</w:t>
      </w:r>
      <w:r>
        <w:rPr>
          <w:rFonts w:ascii="Times New Roman" w:hAnsi="Times New Roman"/>
          <w:b/>
          <w:bCs/>
          <w:caps/>
          <w:sz w:val="24"/>
          <w:szCs w:val="24"/>
        </w:rPr>
        <w:t xml:space="preserve"> equipment</w:t>
      </w:r>
      <w:r w:rsidRPr="00814A53">
        <w:rPr>
          <w:rFonts w:ascii="Times New Roman" w:hAnsi="Times New Roman"/>
          <w:b/>
          <w:bCs/>
          <w:caps/>
          <w:sz w:val="24"/>
          <w:szCs w:val="24"/>
        </w:rPr>
        <w:t xml:space="preserve"> Sites awarded funding</w:t>
      </w:r>
      <w:r w:rsidRPr="00814A53">
        <w:rPr>
          <w:rFonts w:ascii="Times New Roman" w:hAnsi="Times New Roman"/>
          <w:b/>
          <w:bCs/>
          <w:sz w:val="24"/>
          <w:szCs w:val="24"/>
        </w:rPr>
        <w:t xml:space="preserve"> </w:t>
      </w:r>
      <w:bookmarkEnd w:id="0"/>
      <w:bookmarkEnd w:id="1"/>
    </w:p>
    <w:p w14:paraId="404FDD62" w14:textId="7B434048" w:rsidR="005F0174" w:rsidRPr="00814A53" w:rsidRDefault="00624979" w:rsidP="00371F57">
      <w:pPr>
        <w:pStyle w:val="Level2"/>
        <w:numPr>
          <w:ilvl w:val="1"/>
          <w:numId w:val="1"/>
        </w:numPr>
        <w:spacing w:before="120" w:after="120" w:line="20" w:lineRule="atLeast"/>
        <w:ind w:firstLine="0"/>
      </w:pPr>
      <w:bookmarkStart w:id="3" w:name="_Ref131515172"/>
      <w:r w:rsidRPr="00814A53">
        <w:t>Definitions</w:t>
      </w:r>
      <w:r w:rsidRPr="00814A53">
        <w:rPr>
          <w:caps/>
        </w:rPr>
        <w:t>.</w:t>
      </w:r>
      <w:r w:rsidRPr="00814A53">
        <w:t xml:space="preserve">  </w:t>
      </w:r>
      <w:r w:rsidRPr="00814A53">
        <w:rPr>
          <w:b w:val="0"/>
          <w:bCs/>
        </w:rPr>
        <w:t xml:space="preserve">As used in this </w:t>
      </w:r>
      <w:r>
        <w:rPr>
          <w:b w:val="0"/>
          <w:bCs/>
        </w:rPr>
        <w:t>document</w:t>
      </w:r>
      <w:r w:rsidRPr="00814A53">
        <w:rPr>
          <w:b w:val="0"/>
          <w:bCs/>
        </w:rPr>
        <w:t xml:space="preserve"> the following terms are defined as:</w:t>
      </w:r>
    </w:p>
    <w:p w14:paraId="5E598423" w14:textId="5DF9228A" w:rsidR="005F0174" w:rsidRPr="00404F22" w:rsidRDefault="00624979" w:rsidP="00C867AC">
      <w:pPr>
        <w:pStyle w:val="Level2"/>
        <w:numPr>
          <w:ilvl w:val="2"/>
          <w:numId w:val="1"/>
        </w:numPr>
        <w:tabs>
          <w:tab w:val="left" w:pos="1170"/>
        </w:tabs>
        <w:spacing w:before="120" w:after="120" w:line="20" w:lineRule="atLeast"/>
        <w:ind w:left="450" w:firstLine="0"/>
        <w:rPr>
          <w:bCs/>
        </w:rPr>
      </w:pPr>
      <w:r w:rsidRPr="00404F22">
        <w:rPr>
          <w:b w:val="0"/>
          <w:bCs/>
        </w:rPr>
        <w:t>“</w:t>
      </w:r>
      <w:r w:rsidR="002650D7">
        <w:rPr>
          <w:b w:val="0"/>
          <w:bCs/>
        </w:rPr>
        <w:t>Sponsor</w:t>
      </w:r>
      <w:r w:rsidRPr="00404F22">
        <w:rPr>
          <w:b w:val="0"/>
          <w:bCs/>
        </w:rPr>
        <w:t>” shall mean the entity responsible for the installation and maintenance of the Electric Vehicle Supply Equipment (EVSE) and the recipient of the grant issued by the Arkansas Department of Transportation (hereinafter called “</w:t>
      </w:r>
      <w:r w:rsidR="00825BF5">
        <w:rPr>
          <w:b w:val="0"/>
          <w:bCs/>
        </w:rPr>
        <w:t>ARDOT</w:t>
      </w:r>
      <w:r w:rsidRPr="00404F22">
        <w:rPr>
          <w:b w:val="0"/>
          <w:bCs/>
        </w:rPr>
        <w:t>”).</w:t>
      </w:r>
    </w:p>
    <w:p w14:paraId="7542D866" w14:textId="77777777" w:rsidR="00624979" w:rsidRPr="00404F22" w:rsidRDefault="00624979" w:rsidP="00C867AC">
      <w:pPr>
        <w:pStyle w:val="Level2"/>
        <w:numPr>
          <w:ilvl w:val="2"/>
          <w:numId w:val="1"/>
        </w:numPr>
        <w:tabs>
          <w:tab w:val="left" w:pos="1170"/>
        </w:tabs>
        <w:spacing w:before="120" w:after="120" w:line="20" w:lineRule="atLeast"/>
        <w:ind w:firstLine="450"/>
        <w:rPr>
          <w:bCs/>
        </w:rPr>
      </w:pPr>
      <w:r w:rsidRPr="00C867AC">
        <w:rPr>
          <w:b w:val="0"/>
          <w:bCs/>
        </w:rPr>
        <w:t>“Site” shall mean the real property location where the EVSE is located.</w:t>
      </w:r>
    </w:p>
    <w:p w14:paraId="44DBB600" w14:textId="39AEFA19" w:rsidR="005F0174" w:rsidRPr="00814A53" w:rsidRDefault="00624979" w:rsidP="00C867AC">
      <w:pPr>
        <w:pStyle w:val="Level3"/>
        <w:numPr>
          <w:ilvl w:val="2"/>
          <w:numId w:val="1"/>
        </w:numPr>
        <w:tabs>
          <w:tab w:val="clear" w:pos="1584"/>
          <w:tab w:val="left" w:pos="1170"/>
        </w:tabs>
        <w:spacing w:before="120" w:after="120" w:line="20" w:lineRule="atLeast"/>
        <w:ind w:left="450" w:firstLine="0"/>
      </w:pPr>
      <w:r w:rsidRPr="00814A53">
        <w:t>“EVSE” shall mean all equipment, public charging equipment, and surface area occupied by the equipment for the electric charging of vehicles.</w:t>
      </w:r>
    </w:p>
    <w:p w14:paraId="3A68FB37" w14:textId="13142C67" w:rsidR="00624979" w:rsidRDefault="00624979" w:rsidP="00C867AC">
      <w:pPr>
        <w:pStyle w:val="Level3"/>
        <w:numPr>
          <w:ilvl w:val="2"/>
          <w:numId w:val="1"/>
        </w:numPr>
        <w:tabs>
          <w:tab w:val="clear" w:pos="1584"/>
          <w:tab w:val="left" w:pos="1170"/>
        </w:tabs>
        <w:spacing w:before="120" w:after="120" w:line="20" w:lineRule="atLeast"/>
        <w:ind w:left="450" w:firstLine="0"/>
      </w:pPr>
      <w:r w:rsidRPr="00814A53">
        <w:t>“Site Host” shall mean the entity</w:t>
      </w:r>
      <w:r>
        <w:t xml:space="preserve"> or</w:t>
      </w:r>
      <w:r w:rsidRPr="00814A53">
        <w:t xml:space="preserve"> person holding </w:t>
      </w:r>
      <w:r w:rsidR="00C259F3">
        <w:t xml:space="preserve">the </w:t>
      </w:r>
      <w:r w:rsidRPr="00814A53">
        <w:t>fee</w:t>
      </w:r>
      <w:r w:rsidR="00702B54">
        <w:t xml:space="preserve"> </w:t>
      </w:r>
      <w:r w:rsidRPr="00814A53">
        <w:t>simple</w:t>
      </w:r>
      <w:r w:rsidR="00702B54">
        <w:t xml:space="preserve">, </w:t>
      </w:r>
      <w:r w:rsidRPr="00814A53">
        <w:t>title</w:t>
      </w:r>
      <w:r w:rsidR="00702B54">
        <w:t>,</w:t>
      </w:r>
      <w:r w:rsidRPr="00814A53">
        <w:t xml:space="preserve"> or lease</w:t>
      </w:r>
      <w:r>
        <w:t>,</w:t>
      </w:r>
      <w:r w:rsidRPr="00814A53">
        <w:t xml:space="preserve"> with the authority to authorize the placement and maintenance of the EVSE on the </w:t>
      </w:r>
      <w:r>
        <w:t>S</w:t>
      </w:r>
      <w:r w:rsidRPr="00814A53">
        <w:t xml:space="preserve">ite identified by the Site Host, and the authority to allow the </w:t>
      </w:r>
      <w:r w:rsidR="002650D7">
        <w:t>Sponsor</w:t>
      </w:r>
      <w:r w:rsidRPr="00814A53">
        <w:t xml:space="preserve">, </w:t>
      </w:r>
      <w:r w:rsidR="00825BF5">
        <w:t>ARDOT</w:t>
      </w:r>
      <w:r w:rsidRPr="00814A53">
        <w:t xml:space="preserve">, and the public to access the </w:t>
      </w:r>
      <w:r>
        <w:t>S</w:t>
      </w:r>
      <w:r w:rsidRPr="00814A53">
        <w:t>ite.</w:t>
      </w:r>
    </w:p>
    <w:p w14:paraId="687A3343" w14:textId="07F81B4D" w:rsidR="00624979" w:rsidRDefault="00624979" w:rsidP="00C867AC">
      <w:pPr>
        <w:pStyle w:val="Level3"/>
        <w:numPr>
          <w:ilvl w:val="2"/>
          <w:numId w:val="1"/>
        </w:numPr>
        <w:tabs>
          <w:tab w:val="clear" w:pos="1584"/>
          <w:tab w:val="left" w:pos="1170"/>
        </w:tabs>
        <w:spacing w:before="120" w:after="120" w:line="20" w:lineRule="atLeast"/>
        <w:ind w:left="450" w:firstLine="0"/>
      </w:pPr>
      <w:r>
        <w:t xml:space="preserve">“Project” shall mean any action or work executed within the scope of the Agreement between the </w:t>
      </w:r>
      <w:r w:rsidR="002650D7">
        <w:t>Sponsor</w:t>
      </w:r>
      <w:r>
        <w:t xml:space="preserve"> and </w:t>
      </w:r>
      <w:r w:rsidR="00825BF5">
        <w:t>ARDOT</w:t>
      </w:r>
      <w:r>
        <w:t>.</w:t>
      </w:r>
    </w:p>
    <w:p w14:paraId="330D79B7" w14:textId="543C0F12" w:rsidR="00624979" w:rsidRPr="00814A53" w:rsidRDefault="00624979" w:rsidP="00C867AC">
      <w:pPr>
        <w:pStyle w:val="Level3"/>
        <w:numPr>
          <w:ilvl w:val="2"/>
          <w:numId w:val="1"/>
        </w:numPr>
        <w:tabs>
          <w:tab w:val="clear" w:pos="1584"/>
          <w:tab w:val="left" w:pos="1170"/>
        </w:tabs>
        <w:spacing w:before="120" w:after="120" w:line="20" w:lineRule="atLeast"/>
        <w:ind w:left="450" w:firstLine="0"/>
      </w:pPr>
      <w:r>
        <w:t xml:space="preserve">“Agreement” shall mean the Agreement of Understanding between the </w:t>
      </w:r>
      <w:r w:rsidR="002650D7">
        <w:t>Sponsor</w:t>
      </w:r>
      <w:r>
        <w:t xml:space="preserve"> and </w:t>
      </w:r>
      <w:r w:rsidR="00825BF5">
        <w:t>ARDOT</w:t>
      </w:r>
      <w:r>
        <w:t xml:space="preserve"> relating to the NEVI Formula Program. </w:t>
      </w:r>
    </w:p>
    <w:p w14:paraId="27033C4C" w14:textId="013D1559" w:rsidR="00624979" w:rsidRPr="00576877" w:rsidRDefault="00624979" w:rsidP="00371F57">
      <w:pPr>
        <w:pStyle w:val="Level2"/>
        <w:numPr>
          <w:ilvl w:val="1"/>
          <w:numId w:val="1"/>
        </w:numPr>
        <w:spacing w:before="120" w:after="120" w:line="20" w:lineRule="atLeast"/>
        <w:ind w:firstLine="0"/>
        <w:rPr>
          <w:b w:val="0"/>
          <w:bCs/>
        </w:rPr>
      </w:pPr>
      <w:r w:rsidRPr="00C867AC">
        <w:rPr>
          <w:b w:val="0"/>
          <w:bCs/>
        </w:rPr>
        <w:t>During the Term of the Agreement,</w:t>
      </w:r>
      <w:r w:rsidRPr="00814A53">
        <w:rPr>
          <w:b w:val="0"/>
          <w:bCs/>
        </w:rPr>
        <w:t xml:space="preserve"> </w:t>
      </w:r>
      <w:r w:rsidR="000412F1">
        <w:rPr>
          <w:b w:val="0"/>
          <w:bCs/>
        </w:rPr>
        <w:t xml:space="preserve">the </w:t>
      </w:r>
      <w:r w:rsidR="002650D7">
        <w:rPr>
          <w:b w:val="0"/>
          <w:bCs/>
        </w:rPr>
        <w:t>Sponsor</w:t>
      </w:r>
      <w:r w:rsidRPr="00814A53">
        <w:rPr>
          <w:b w:val="0"/>
          <w:bCs/>
        </w:rPr>
        <w:t xml:space="preserve"> </w:t>
      </w:r>
      <w:r w:rsidRPr="00576877">
        <w:rPr>
          <w:b w:val="0"/>
        </w:rPr>
        <w:t>or Site Host shall</w:t>
      </w:r>
      <w:r w:rsidRPr="00814A53">
        <w:rPr>
          <w:b w:val="0"/>
          <w:bCs/>
        </w:rPr>
        <w:t xml:space="preserve"> not amend, modify, supplement or replace the terms of </w:t>
      </w:r>
      <w:r>
        <w:rPr>
          <w:b w:val="0"/>
          <w:bCs/>
        </w:rPr>
        <w:t xml:space="preserve">any </w:t>
      </w:r>
      <w:r w:rsidRPr="0041717A">
        <w:rPr>
          <w:b w:val="0"/>
          <w:bCs/>
        </w:rPr>
        <w:t>agreements</w:t>
      </w:r>
      <w:r>
        <w:rPr>
          <w:b w:val="0"/>
          <w:bCs/>
        </w:rPr>
        <w:t xml:space="preserve"> between the Parties </w:t>
      </w:r>
      <w:r w:rsidRPr="00814A53">
        <w:rPr>
          <w:b w:val="0"/>
          <w:bCs/>
        </w:rPr>
        <w:t xml:space="preserve">in a manner that limits, restricts, eliminates or otherwise adversely affects </w:t>
      </w:r>
      <w:r w:rsidR="00A02101">
        <w:rPr>
          <w:b w:val="0"/>
          <w:bCs/>
        </w:rPr>
        <w:t xml:space="preserve">the </w:t>
      </w:r>
      <w:r w:rsidR="002650D7">
        <w:rPr>
          <w:b w:val="0"/>
          <w:bCs/>
        </w:rPr>
        <w:t>Sponsor</w:t>
      </w:r>
      <w:r w:rsidRPr="00814A53">
        <w:rPr>
          <w:b w:val="0"/>
          <w:bCs/>
        </w:rPr>
        <w:t xml:space="preserve">’s ability to access the Site or to complete the </w:t>
      </w:r>
      <w:r w:rsidR="000412F1">
        <w:rPr>
          <w:b w:val="0"/>
          <w:bCs/>
        </w:rPr>
        <w:t>Project</w:t>
      </w:r>
      <w:r w:rsidRPr="00814A53">
        <w:rPr>
          <w:b w:val="0"/>
          <w:bCs/>
        </w:rPr>
        <w:t xml:space="preserve">, or any rights or interests of </w:t>
      </w:r>
      <w:r w:rsidR="00825BF5">
        <w:rPr>
          <w:b w:val="0"/>
        </w:rPr>
        <w:t>ARDOT</w:t>
      </w:r>
      <w:r w:rsidRPr="00814A53">
        <w:rPr>
          <w:b w:val="0"/>
          <w:bCs/>
        </w:rPr>
        <w:t xml:space="preserve"> without prior written consent of </w:t>
      </w:r>
      <w:r w:rsidR="00825BF5">
        <w:rPr>
          <w:b w:val="0"/>
          <w:bCs/>
        </w:rPr>
        <w:t>ARDOT</w:t>
      </w:r>
      <w:r w:rsidRPr="00576877">
        <w:rPr>
          <w:b w:val="0"/>
          <w:bCs/>
        </w:rPr>
        <w:t>.</w:t>
      </w:r>
      <w:bookmarkEnd w:id="3"/>
    </w:p>
    <w:p w14:paraId="422CE8C8" w14:textId="63EF7781" w:rsidR="00624979" w:rsidRDefault="002F134F" w:rsidP="00371F57">
      <w:pPr>
        <w:pStyle w:val="Level2"/>
        <w:numPr>
          <w:ilvl w:val="1"/>
          <w:numId w:val="1"/>
        </w:numPr>
        <w:spacing w:before="120" w:after="120" w:line="20" w:lineRule="atLeast"/>
        <w:ind w:firstLine="0"/>
        <w:rPr>
          <w:b w:val="0"/>
        </w:rPr>
      </w:pPr>
      <w:bookmarkStart w:id="4" w:name="_Ref131069680"/>
      <w:bookmarkStart w:id="5" w:name="_Ref130667192"/>
      <w:r>
        <w:rPr>
          <w:b w:val="0"/>
        </w:rPr>
        <w:t xml:space="preserve">The </w:t>
      </w:r>
      <w:r w:rsidR="003A4E07">
        <w:rPr>
          <w:b w:val="0"/>
        </w:rPr>
        <w:t>Sponsor</w:t>
      </w:r>
      <w:r w:rsidR="00624979" w:rsidRPr="00613C68">
        <w:rPr>
          <w:b w:val="0"/>
        </w:rPr>
        <w:t xml:space="preserve"> and Site Host hereby grant to </w:t>
      </w:r>
      <w:r w:rsidR="00825BF5">
        <w:rPr>
          <w:b w:val="0"/>
        </w:rPr>
        <w:t>ARDOT</w:t>
      </w:r>
      <w:r w:rsidR="00624979" w:rsidRPr="00613C68">
        <w:rPr>
          <w:b w:val="0"/>
        </w:rPr>
        <w:t xml:space="preserve"> the right during the </w:t>
      </w:r>
      <w:r w:rsidR="00624979" w:rsidRPr="00B4798B">
        <w:rPr>
          <w:b w:val="0"/>
        </w:rPr>
        <w:t>Term</w:t>
      </w:r>
      <w:r w:rsidR="00624979">
        <w:rPr>
          <w:b w:val="0"/>
        </w:rPr>
        <w:t xml:space="preserve"> of the Agreement</w:t>
      </w:r>
      <w:r w:rsidR="00624979" w:rsidRPr="00613C68">
        <w:rPr>
          <w:b w:val="0"/>
        </w:rPr>
        <w:t xml:space="preserve"> (without giving effect to any Early Termination) to enter upon any portion of the Site and all other properties upon which Project-related EVSE may from time to time be located, at any time and without notice to or consent or approval of </w:t>
      </w:r>
      <w:r w:rsidR="002315DA">
        <w:rPr>
          <w:b w:val="0"/>
        </w:rPr>
        <w:t xml:space="preserve">the </w:t>
      </w:r>
      <w:r w:rsidR="002650D7">
        <w:rPr>
          <w:b w:val="0"/>
        </w:rPr>
        <w:t>Sponsor</w:t>
      </w:r>
      <w:r w:rsidR="00624979" w:rsidRPr="00613C68">
        <w:rPr>
          <w:b w:val="0"/>
        </w:rPr>
        <w:t xml:space="preserve">, Site Host, or any other party, to </w:t>
      </w:r>
      <w:bookmarkStart w:id="6" w:name="_Hlk135156273"/>
      <w:r w:rsidR="00624979" w:rsidRPr="00613C68">
        <w:rPr>
          <w:b w:val="0"/>
        </w:rPr>
        <w:lastRenderedPageBreak/>
        <w:t>observe, inspect, photograph or otherwise document</w:t>
      </w:r>
      <w:bookmarkEnd w:id="6"/>
      <w:r w:rsidR="00624979" w:rsidRPr="00613C68">
        <w:rPr>
          <w:b w:val="0"/>
        </w:rPr>
        <w:t xml:space="preserve">, and, if necessary, in the sole judgment and opinion of </w:t>
      </w:r>
      <w:r w:rsidR="00825BF5">
        <w:rPr>
          <w:b w:val="0"/>
        </w:rPr>
        <w:t>ARDOT</w:t>
      </w:r>
      <w:r w:rsidR="00624979" w:rsidRPr="00613C68">
        <w:rPr>
          <w:b w:val="0"/>
        </w:rPr>
        <w:t>, in connection with its exercise of remedies under th</w:t>
      </w:r>
      <w:r w:rsidR="00624979">
        <w:rPr>
          <w:b w:val="0"/>
        </w:rPr>
        <w:t>e</w:t>
      </w:r>
      <w:r w:rsidR="00624979" w:rsidRPr="00613C68">
        <w:rPr>
          <w:b w:val="0"/>
        </w:rPr>
        <w:t xml:space="preserve"> Agreement. </w:t>
      </w:r>
      <w:bookmarkEnd w:id="4"/>
    </w:p>
    <w:p w14:paraId="4FEB0AD6" w14:textId="104A67E1" w:rsidR="00624979" w:rsidRPr="00C211FB" w:rsidRDefault="00C00816" w:rsidP="00371F57">
      <w:pPr>
        <w:pStyle w:val="ListParagraph"/>
        <w:numPr>
          <w:ilvl w:val="1"/>
          <w:numId w:val="1"/>
        </w:numPr>
        <w:spacing w:before="120" w:after="120" w:line="240" w:lineRule="auto"/>
        <w:ind w:firstLine="0"/>
        <w:contextualSpacing w:val="0"/>
        <w:jc w:val="both"/>
        <w:rPr>
          <w:rFonts w:ascii="Times New Roman" w:hAnsi="Times New Roman"/>
          <w:sz w:val="24"/>
          <w:szCs w:val="24"/>
        </w:rPr>
      </w:pPr>
      <w:r>
        <w:rPr>
          <w:rFonts w:ascii="Times New Roman" w:hAnsi="Times New Roman"/>
          <w:sz w:val="24"/>
          <w:szCs w:val="24"/>
        </w:rPr>
        <w:t xml:space="preserve">The </w:t>
      </w:r>
      <w:r w:rsidR="00624979" w:rsidRPr="00C211FB">
        <w:rPr>
          <w:rFonts w:ascii="Times New Roman" w:hAnsi="Times New Roman"/>
          <w:sz w:val="24"/>
          <w:szCs w:val="24"/>
        </w:rPr>
        <w:t xml:space="preserve">Site Host waives in favor of </w:t>
      </w:r>
      <w:r w:rsidR="00825BF5">
        <w:rPr>
          <w:rFonts w:ascii="Times New Roman" w:hAnsi="Times New Roman"/>
          <w:sz w:val="24"/>
          <w:szCs w:val="24"/>
        </w:rPr>
        <w:t>ARDOT</w:t>
      </w:r>
      <w:r w:rsidR="00624979" w:rsidRPr="00C211FB">
        <w:rPr>
          <w:rFonts w:ascii="Times New Roman" w:hAnsi="Times New Roman"/>
          <w:sz w:val="24"/>
          <w:szCs w:val="24"/>
        </w:rPr>
        <w:t xml:space="preserve"> (a) all rights of distraint, levy and execution that </w:t>
      </w:r>
      <w:r>
        <w:rPr>
          <w:rFonts w:ascii="Times New Roman" w:hAnsi="Times New Roman"/>
          <w:sz w:val="24"/>
          <w:szCs w:val="24"/>
        </w:rPr>
        <w:t xml:space="preserve">the </w:t>
      </w:r>
      <w:r w:rsidR="00624979" w:rsidRPr="00C211FB">
        <w:rPr>
          <w:rFonts w:ascii="Times New Roman" w:hAnsi="Times New Roman"/>
          <w:sz w:val="24"/>
          <w:szCs w:val="24"/>
        </w:rPr>
        <w:t xml:space="preserve">Site Host may now or hereafter have against any personal property of </w:t>
      </w:r>
      <w:r w:rsidR="00066749">
        <w:rPr>
          <w:rFonts w:ascii="Times New Roman" w:hAnsi="Times New Roman"/>
          <w:sz w:val="24"/>
          <w:szCs w:val="24"/>
        </w:rPr>
        <w:t xml:space="preserve">the </w:t>
      </w:r>
      <w:r w:rsidR="002650D7">
        <w:rPr>
          <w:rFonts w:ascii="Times New Roman" w:hAnsi="Times New Roman"/>
          <w:sz w:val="24"/>
          <w:szCs w:val="24"/>
        </w:rPr>
        <w:t>Sponsor</w:t>
      </w:r>
      <w:r w:rsidR="00624979" w:rsidRPr="00C211FB">
        <w:rPr>
          <w:rFonts w:ascii="Times New Roman" w:hAnsi="Times New Roman"/>
          <w:sz w:val="24"/>
          <w:szCs w:val="24"/>
        </w:rPr>
        <w:t xml:space="preserve"> relating to the Project, (b) all statutory liens, security interests or other liens that </w:t>
      </w:r>
      <w:r>
        <w:rPr>
          <w:rFonts w:ascii="Times New Roman" w:hAnsi="Times New Roman"/>
          <w:sz w:val="24"/>
          <w:szCs w:val="24"/>
        </w:rPr>
        <w:t xml:space="preserve">the </w:t>
      </w:r>
      <w:r w:rsidR="00624979" w:rsidRPr="00C211FB">
        <w:rPr>
          <w:rFonts w:ascii="Times New Roman" w:hAnsi="Times New Roman"/>
          <w:sz w:val="24"/>
          <w:szCs w:val="24"/>
        </w:rPr>
        <w:t xml:space="preserve">Site Host may now or hereafter have in any personal property of </w:t>
      </w:r>
      <w:r w:rsidR="00066749">
        <w:rPr>
          <w:rFonts w:ascii="Times New Roman" w:hAnsi="Times New Roman"/>
          <w:sz w:val="24"/>
          <w:szCs w:val="24"/>
        </w:rPr>
        <w:t xml:space="preserve">the </w:t>
      </w:r>
      <w:r w:rsidR="002650D7">
        <w:rPr>
          <w:rFonts w:ascii="Times New Roman" w:hAnsi="Times New Roman"/>
          <w:sz w:val="24"/>
          <w:szCs w:val="24"/>
        </w:rPr>
        <w:t>Sponsor</w:t>
      </w:r>
      <w:r w:rsidR="00624979" w:rsidRPr="00C211FB">
        <w:rPr>
          <w:rFonts w:ascii="Times New Roman" w:hAnsi="Times New Roman"/>
          <w:sz w:val="24"/>
          <w:szCs w:val="24"/>
        </w:rPr>
        <w:t xml:space="preserve"> relating to the Project, and (c) all other interests or claims of every nature whatsoever, that </w:t>
      </w:r>
      <w:r w:rsidR="006E7130">
        <w:rPr>
          <w:rFonts w:ascii="Times New Roman" w:hAnsi="Times New Roman"/>
          <w:sz w:val="24"/>
          <w:szCs w:val="24"/>
        </w:rPr>
        <w:t xml:space="preserve">the </w:t>
      </w:r>
      <w:r w:rsidR="00624979" w:rsidRPr="00C211FB">
        <w:rPr>
          <w:rFonts w:ascii="Times New Roman" w:hAnsi="Times New Roman"/>
          <w:sz w:val="24"/>
          <w:szCs w:val="24"/>
        </w:rPr>
        <w:t xml:space="preserve">Site Host may now or hereafter have in or against any personal property of </w:t>
      </w:r>
      <w:r w:rsidR="005B70AD">
        <w:rPr>
          <w:rFonts w:ascii="Times New Roman" w:hAnsi="Times New Roman"/>
          <w:sz w:val="24"/>
          <w:szCs w:val="24"/>
        </w:rPr>
        <w:t xml:space="preserve">the </w:t>
      </w:r>
      <w:r w:rsidR="002650D7">
        <w:rPr>
          <w:rFonts w:ascii="Times New Roman" w:hAnsi="Times New Roman"/>
          <w:sz w:val="24"/>
          <w:szCs w:val="24"/>
        </w:rPr>
        <w:t>Sponsor</w:t>
      </w:r>
      <w:r w:rsidR="00624979" w:rsidRPr="00C211FB">
        <w:rPr>
          <w:rFonts w:ascii="Times New Roman" w:hAnsi="Times New Roman"/>
          <w:sz w:val="24"/>
          <w:szCs w:val="24"/>
        </w:rPr>
        <w:t xml:space="preserve"> relating to the Project for any rent, license fees, storage charges, or other sums due, or to become due, to </w:t>
      </w:r>
      <w:r w:rsidR="005B70AD">
        <w:rPr>
          <w:rFonts w:ascii="Times New Roman" w:hAnsi="Times New Roman"/>
          <w:sz w:val="24"/>
          <w:szCs w:val="24"/>
        </w:rPr>
        <w:t xml:space="preserve">the </w:t>
      </w:r>
      <w:r w:rsidR="00624979" w:rsidRPr="00C211FB">
        <w:rPr>
          <w:rFonts w:ascii="Times New Roman" w:hAnsi="Times New Roman"/>
          <w:sz w:val="24"/>
          <w:szCs w:val="24"/>
        </w:rPr>
        <w:t xml:space="preserve">Site Host by </w:t>
      </w:r>
      <w:r w:rsidR="005B70AD">
        <w:rPr>
          <w:rFonts w:ascii="Times New Roman" w:hAnsi="Times New Roman"/>
          <w:sz w:val="24"/>
          <w:szCs w:val="24"/>
        </w:rPr>
        <w:t xml:space="preserve">the </w:t>
      </w:r>
      <w:r w:rsidR="002650D7">
        <w:rPr>
          <w:rFonts w:ascii="Times New Roman" w:hAnsi="Times New Roman"/>
          <w:sz w:val="24"/>
          <w:szCs w:val="24"/>
        </w:rPr>
        <w:t>Sponsor</w:t>
      </w:r>
      <w:r w:rsidR="00624979" w:rsidRPr="00C211FB">
        <w:rPr>
          <w:rFonts w:ascii="Times New Roman" w:hAnsi="Times New Roman"/>
          <w:sz w:val="24"/>
          <w:szCs w:val="24"/>
        </w:rPr>
        <w:t xml:space="preserve">.  The foregoing waivers are being given exclusively for the benefit of </w:t>
      </w:r>
      <w:r w:rsidR="00825BF5">
        <w:rPr>
          <w:rFonts w:ascii="Times New Roman" w:hAnsi="Times New Roman"/>
          <w:sz w:val="24"/>
          <w:szCs w:val="24"/>
        </w:rPr>
        <w:t xml:space="preserve">ARDOT </w:t>
      </w:r>
      <w:r w:rsidR="00624979" w:rsidRPr="00C211FB">
        <w:rPr>
          <w:rFonts w:ascii="Times New Roman" w:hAnsi="Times New Roman"/>
          <w:sz w:val="24"/>
          <w:szCs w:val="24"/>
        </w:rPr>
        <w:t xml:space="preserve">and do not excuse, extend, or waive any obligations owed by </w:t>
      </w:r>
      <w:r w:rsidR="005B70AD">
        <w:rPr>
          <w:rFonts w:ascii="Times New Roman" w:hAnsi="Times New Roman"/>
          <w:sz w:val="24"/>
          <w:szCs w:val="24"/>
        </w:rPr>
        <w:t xml:space="preserve">the </w:t>
      </w:r>
      <w:r w:rsidR="002650D7">
        <w:rPr>
          <w:rFonts w:ascii="Times New Roman" w:hAnsi="Times New Roman"/>
          <w:sz w:val="24"/>
          <w:szCs w:val="24"/>
        </w:rPr>
        <w:t>Sponsor</w:t>
      </w:r>
      <w:r w:rsidR="00624979" w:rsidRPr="00C211FB">
        <w:rPr>
          <w:rFonts w:ascii="Times New Roman" w:hAnsi="Times New Roman"/>
          <w:sz w:val="24"/>
          <w:szCs w:val="24"/>
        </w:rPr>
        <w:t xml:space="preserve"> to </w:t>
      </w:r>
      <w:r w:rsidR="005B70AD">
        <w:rPr>
          <w:rFonts w:ascii="Times New Roman" w:hAnsi="Times New Roman"/>
          <w:sz w:val="24"/>
          <w:szCs w:val="24"/>
        </w:rPr>
        <w:t xml:space="preserve">the </w:t>
      </w:r>
      <w:r w:rsidR="00624979" w:rsidRPr="00C211FB">
        <w:rPr>
          <w:rFonts w:ascii="Times New Roman" w:hAnsi="Times New Roman"/>
          <w:sz w:val="24"/>
          <w:szCs w:val="24"/>
        </w:rPr>
        <w:t>Site Host under any agreements between the Parties.</w:t>
      </w:r>
    </w:p>
    <w:p w14:paraId="070B86D7" w14:textId="3F9288B6" w:rsidR="00624979" w:rsidRPr="00C867AC" w:rsidRDefault="00624979" w:rsidP="00371F57">
      <w:pPr>
        <w:pStyle w:val="Level2"/>
        <w:numPr>
          <w:ilvl w:val="1"/>
          <w:numId w:val="1"/>
        </w:numPr>
        <w:spacing w:before="120" w:after="120" w:line="20" w:lineRule="atLeast"/>
        <w:ind w:firstLine="0"/>
        <w:rPr>
          <w:b w:val="0"/>
        </w:rPr>
      </w:pPr>
      <w:r w:rsidRPr="00814A53">
        <w:rPr>
          <w:b w:val="0"/>
          <w:bCs/>
        </w:rPr>
        <w:t xml:space="preserve">To the extent </w:t>
      </w:r>
      <w:r w:rsidR="005B70AD">
        <w:rPr>
          <w:b w:val="0"/>
          <w:bCs/>
        </w:rPr>
        <w:t xml:space="preserve">the </w:t>
      </w:r>
      <w:r w:rsidR="002650D7">
        <w:rPr>
          <w:b w:val="0"/>
          <w:bCs/>
        </w:rPr>
        <w:t>Sponsor</w:t>
      </w:r>
      <w:r w:rsidRPr="00814A53">
        <w:rPr>
          <w:b w:val="0"/>
          <w:bCs/>
        </w:rPr>
        <w:t xml:space="preserve"> is not the Site Host, </w:t>
      </w:r>
      <w:r w:rsidR="005B70AD">
        <w:rPr>
          <w:b w:val="0"/>
          <w:bCs/>
        </w:rPr>
        <w:t xml:space="preserve">the </w:t>
      </w:r>
      <w:r w:rsidR="002650D7">
        <w:rPr>
          <w:b w:val="0"/>
        </w:rPr>
        <w:t>Sponsor</w:t>
      </w:r>
      <w:r w:rsidRPr="00814A53">
        <w:rPr>
          <w:b w:val="0"/>
        </w:rPr>
        <w:t xml:space="preserve"> shall ensure </w:t>
      </w:r>
      <w:proofErr w:type="gramStart"/>
      <w:r w:rsidRPr="00814A53">
        <w:rPr>
          <w:b w:val="0"/>
        </w:rPr>
        <w:t>t</w:t>
      </w:r>
      <w:r>
        <w:rPr>
          <w:b w:val="0"/>
        </w:rPr>
        <w:t>hat,</w:t>
      </w:r>
      <w:proofErr w:type="gramEnd"/>
      <w:r>
        <w:rPr>
          <w:b w:val="0"/>
        </w:rPr>
        <w:t xml:space="preserve"> </w:t>
      </w:r>
      <w:proofErr w:type="gramStart"/>
      <w:r w:rsidRPr="00814A53">
        <w:rPr>
          <w:b w:val="0"/>
        </w:rPr>
        <w:t>at all times</w:t>
      </w:r>
      <w:proofErr w:type="gramEnd"/>
      <w:r w:rsidRPr="00814A53">
        <w:rPr>
          <w:b w:val="0"/>
        </w:rPr>
        <w:t xml:space="preserve"> during the </w:t>
      </w:r>
      <w:r w:rsidRPr="002D1BDC">
        <w:rPr>
          <w:b w:val="0"/>
        </w:rPr>
        <w:t>Term</w:t>
      </w:r>
      <w:r w:rsidRPr="00C867AC">
        <w:rPr>
          <w:b w:val="0"/>
        </w:rPr>
        <w:t>s of the Agreement:</w:t>
      </w:r>
      <w:bookmarkStart w:id="7" w:name="_Ref135051882"/>
    </w:p>
    <w:p w14:paraId="6040AA70" w14:textId="117FDFA8" w:rsidR="00624979" w:rsidRPr="00814A53" w:rsidRDefault="00825BF5" w:rsidP="00C867AC">
      <w:pPr>
        <w:pStyle w:val="Level3"/>
        <w:numPr>
          <w:ilvl w:val="2"/>
          <w:numId w:val="1"/>
        </w:numPr>
        <w:tabs>
          <w:tab w:val="clear" w:pos="1584"/>
          <w:tab w:val="left" w:pos="1170"/>
        </w:tabs>
        <w:spacing w:before="120" w:after="120" w:line="20" w:lineRule="atLeast"/>
        <w:ind w:left="450" w:firstLine="0"/>
      </w:pPr>
      <w:r>
        <w:t>ARDOT</w:t>
      </w:r>
      <w:r w:rsidR="00624979">
        <w:t xml:space="preserve"> maintains the unrestricted rights</w:t>
      </w:r>
      <w:r w:rsidR="00624979" w:rsidRPr="00814A53">
        <w:t xml:space="preserve"> described </w:t>
      </w:r>
      <w:r w:rsidR="00624979" w:rsidRPr="008B2E89">
        <w:t>in this document</w:t>
      </w:r>
      <w:r w:rsidR="00FB40AC">
        <w:t>;</w:t>
      </w:r>
      <w:r w:rsidR="00624979" w:rsidRPr="002912B0">
        <w:t xml:space="preserve"> and</w:t>
      </w:r>
    </w:p>
    <w:bookmarkEnd w:id="5"/>
    <w:p w14:paraId="2BD77DB4" w14:textId="68AC41FB" w:rsidR="00624979" w:rsidRPr="00814A53" w:rsidRDefault="00624979" w:rsidP="00C867AC">
      <w:pPr>
        <w:pStyle w:val="Level3"/>
        <w:numPr>
          <w:ilvl w:val="2"/>
          <w:numId w:val="1"/>
        </w:numPr>
        <w:tabs>
          <w:tab w:val="clear" w:pos="1584"/>
          <w:tab w:val="left" w:pos="1170"/>
        </w:tabs>
        <w:spacing w:before="120" w:after="120" w:line="20" w:lineRule="atLeast"/>
        <w:ind w:left="450" w:firstLine="0"/>
      </w:pPr>
      <w:r w:rsidRPr="00814A53">
        <w:t xml:space="preserve">That before rights may be exercised by the Site Host under </w:t>
      </w:r>
      <w:r>
        <w:t>any agreement between the Parties</w:t>
      </w:r>
      <w:r w:rsidRPr="00814A53">
        <w:t xml:space="preserve">, the Project or any related EVSE or </w:t>
      </w:r>
      <w:r w:rsidR="00E714FD">
        <w:t xml:space="preserve">the </w:t>
      </w:r>
      <w:r w:rsidR="002650D7">
        <w:t>Sponsor</w:t>
      </w:r>
      <w:r w:rsidRPr="00814A53">
        <w:t xml:space="preserve">’s rights therein, arising from a breach or default under </w:t>
      </w:r>
      <w:r>
        <w:t>any agreements between the Parties</w:t>
      </w:r>
      <w:r w:rsidRPr="00814A53">
        <w:t xml:space="preserve">, </w:t>
      </w:r>
      <w:r w:rsidR="00825BF5">
        <w:t>ARDOT</w:t>
      </w:r>
      <w:r w:rsidRPr="00814A53">
        <w:t xml:space="preserve"> shall be given at least thirty (30) days’ prior written notice of such exercise and an opportunity, if </w:t>
      </w:r>
      <w:r w:rsidR="00825BF5">
        <w:t>ARDOT</w:t>
      </w:r>
      <w:r w:rsidRPr="00814A53">
        <w:t xml:space="preserve"> so elects, to cure such breach or default under </w:t>
      </w:r>
      <w:r>
        <w:t>any agreements between the Parties</w:t>
      </w:r>
      <w:r w:rsidRPr="00814A53">
        <w:t xml:space="preserve"> within such thirty (30) day period, provided that </w:t>
      </w:r>
      <w:r w:rsidR="00825BF5">
        <w:t>ARDOT</w:t>
      </w:r>
      <w:r w:rsidRPr="00814A53">
        <w:t xml:space="preserve"> shall have no obligation to cure any such breach or default.  To the extent </w:t>
      </w:r>
      <w:r w:rsidR="00825BF5">
        <w:t>ARDOT</w:t>
      </w:r>
      <w:r w:rsidRPr="00814A53">
        <w:t xml:space="preserve"> is not a party to </w:t>
      </w:r>
      <w:r>
        <w:t>any agreement between the Parties</w:t>
      </w:r>
      <w:r w:rsidRPr="00814A53">
        <w:t xml:space="preserve"> it shall be designated as a third-party beneficiary of those provisions thereof providing rights in favor of </w:t>
      </w:r>
      <w:r w:rsidR="00825BF5">
        <w:t>ARDOT</w:t>
      </w:r>
      <w:r w:rsidRPr="00814A53">
        <w:t xml:space="preserve"> under </w:t>
      </w:r>
      <w:r w:rsidRPr="008B2E89">
        <w:t>this document.</w:t>
      </w:r>
      <w:r w:rsidRPr="00814A53">
        <w:t xml:space="preserve">  </w:t>
      </w:r>
      <w:bookmarkEnd w:id="7"/>
    </w:p>
    <w:p w14:paraId="04FE3544" w14:textId="7B7103ED" w:rsidR="00624979" w:rsidRPr="00814A53" w:rsidRDefault="00622A84" w:rsidP="00C867AC">
      <w:pPr>
        <w:pStyle w:val="Level2"/>
        <w:numPr>
          <w:ilvl w:val="1"/>
          <w:numId w:val="1"/>
        </w:numPr>
        <w:spacing w:before="120" w:after="120" w:line="20" w:lineRule="atLeast"/>
        <w:ind w:firstLine="0"/>
        <w:rPr>
          <w:b w:val="0"/>
          <w:bCs/>
        </w:rPr>
      </w:pPr>
      <w:bookmarkStart w:id="8" w:name="_Ref131515243"/>
      <w:bookmarkStart w:id="9" w:name="_Ref135052115"/>
      <w:r>
        <w:rPr>
          <w:b w:val="0"/>
          <w:bCs/>
        </w:rPr>
        <w:t xml:space="preserve">The </w:t>
      </w:r>
      <w:r w:rsidR="002650D7">
        <w:rPr>
          <w:b w:val="0"/>
          <w:bCs/>
        </w:rPr>
        <w:t>Sponsor</w:t>
      </w:r>
      <w:r w:rsidR="00624979">
        <w:rPr>
          <w:b w:val="0"/>
          <w:bCs/>
        </w:rPr>
        <w:t xml:space="preserve"> and Site Host</w:t>
      </w:r>
      <w:r w:rsidR="00624979" w:rsidRPr="00814A53">
        <w:rPr>
          <w:b w:val="0"/>
          <w:bCs/>
        </w:rPr>
        <w:t xml:space="preserve"> shall ensure any financing arrangement, lease agreement, or other indebtedness secured by an interest in the Project or any related EVSE, and any other similarly relevant agreement or instruments (each an “Encumbrance Agreement” and, collectively, the “Encumbrance Agreements”) shall at all times during the Terms of th</w:t>
      </w:r>
      <w:r w:rsidR="00624979">
        <w:rPr>
          <w:b w:val="0"/>
          <w:bCs/>
        </w:rPr>
        <w:t>e</w:t>
      </w:r>
      <w:r w:rsidR="00624979" w:rsidRPr="00814A53">
        <w:rPr>
          <w:b w:val="0"/>
          <w:bCs/>
        </w:rPr>
        <w:t xml:space="preserve"> Agreement (without giving effect to any Early Termination) acknowledge and provide:</w:t>
      </w:r>
    </w:p>
    <w:p w14:paraId="274E2122" w14:textId="579EB571" w:rsidR="00624979" w:rsidRPr="00814A53" w:rsidRDefault="00624979" w:rsidP="00C867AC">
      <w:pPr>
        <w:pStyle w:val="Level3"/>
        <w:numPr>
          <w:ilvl w:val="2"/>
          <w:numId w:val="1"/>
        </w:numPr>
        <w:tabs>
          <w:tab w:val="clear" w:pos="1584"/>
          <w:tab w:val="left" w:pos="1170"/>
        </w:tabs>
        <w:spacing w:before="120" w:after="120" w:line="20" w:lineRule="atLeast"/>
        <w:ind w:left="450" w:firstLine="0"/>
      </w:pPr>
      <w:r w:rsidRPr="00814A53">
        <w:t xml:space="preserve"> For the unrestricted rights of </w:t>
      </w:r>
      <w:r w:rsidR="00825BF5">
        <w:t>ARDOT</w:t>
      </w:r>
      <w:r w:rsidRPr="00814A53">
        <w:t xml:space="preserve"> described in </w:t>
      </w:r>
      <w:r w:rsidRPr="00B4798B">
        <w:t>this document</w:t>
      </w:r>
      <w:r w:rsidRPr="00814A53">
        <w:t>, irrespective of any competing or superior interest in the Project or any related EVSE under any Encumbrance Agreement</w:t>
      </w:r>
      <w:r w:rsidR="00FB40AC">
        <w:t>;</w:t>
      </w:r>
      <w:r w:rsidRPr="00814A53">
        <w:t xml:space="preserve"> and</w:t>
      </w:r>
    </w:p>
    <w:p w14:paraId="4EEB54EA" w14:textId="5BF8EE43" w:rsidR="00A615D6" w:rsidRPr="00814A53" w:rsidRDefault="00624979" w:rsidP="00C867AC">
      <w:pPr>
        <w:pStyle w:val="Level3"/>
        <w:numPr>
          <w:ilvl w:val="2"/>
          <w:numId w:val="1"/>
        </w:numPr>
        <w:tabs>
          <w:tab w:val="clear" w:pos="1584"/>
          <w:tab w:val="left" w:pos="1170"/>
        </w:tabs>
        <w:spacing w:before="120" w:after="120" w:line="20" w:lineRule="atLeast"/>
        <w:ind w:left="450" w:firstLine="0"/>
      </w:pPr>
      <w:r w:rsidRPr="00814A53">
        <w:t xml:space="preserve"> That before any </w:t>
      </w:r>
      <w:proofErr w:type="gramStart"/>
      <w:r w:rsidRPr="00814A53">
        <w:t>right</w:t>
      </w:r>
      <w:proofErr w:type="gramEnd"/>
      <w:r w:rsidRPr="00814A53">
        <w:t xml:space="preserve"> may be exercised thereunder against the Project or any related EVSE or </w:t>
      </w:r>
      <w:r w:rsidR="00FB4C4C">
        <w:t xml:space="preserve">the </w:t>
      </w:r>
      <w:r w:rsidR="002650D7">
        <w:t>Sponsor</w:t>
      </w:r>
      <w:r w:rsidRPr="00814A53">
        <w:t>’s rights</w:t>
      </w:r>
      <w:r>
        <w:t xml:space="preserve"> or </w:t>
      </w:r>
      <w:r w:rsidR="00FB4C4C">
        <w:t xml:space="preserve">the </w:t>
      </w:r>
      <w:r>
        <w:t>Site Host’s rights</w:t>
      </w:r>
      <w:r w:rsidRPr="00814A53">
        <w:t xml:space="preserve"> therein, arising from a breach or default under such Encumbrance Agreement, </w:t>
      </w:r>
      <w:r w:rsidR="00E7340B">
        <w:t>ARDOT</w:t>
      </w:r>
      <w:r w:rsidRPr="00814A53">
        <w:t xml:space="preserve"> shall be given: </w:t>
      </w:r>
    </w:p>
    <w:p w14:paraId="3F9FE080" w14:textId="77D965A4" w:rsidR="00A615D6" w:rsidRPr="00814A53" w:rsidRDefault="00624979" w:rsidP="00C867AC">
      <w:pPr>
        <w:pStyle w:val="Level3"/>
        <w:numPr>
          <w:ilvl w:val="3"/>
          <w:numId w:val="1"/>
        </w:numPr>
        <w:tabs>
          <w:tab w:val="clear" w:pos="1584"/>
          <w:tab w:val="left" w:pos="1170"/>
        </w:tabs>
        <w:spacing w:before="120" w:after="120" w:line="20" w:lineRule="atLeast"/>
        <w:ind w:left="-432" w:firstLine="1584"/>
      </w:pPr>
      <w:r w:rsidRPr="00814A53">
        <w:t xml:space="preserve">At least thirty (30) days’ prior written notice of such exercise; and </w:t>
      </w:r>
    </w:p>
    <w:p w14:paraId="4290FAA0" w14:textId="487C231B" w:rsidR="00624979" w:rsidRPr="00814A53" w:rsidRDefault="00624979" w:rsidP="00C867AC">
      <w:pPr>
        <w:pStyle w:val="Level3"/>
        <w:numPr>
          <w:ilvl w:val="3"/>
          <w:numId w:val="1"/>
        </w:numPr>
        <w:tabs>
          <w:tab w:val="clear" w:pos="1584"/>
          <w:tab w:val="left" w:pos="1170"/>
        </w:tabs>
        <w:spacing w:before="120" w:after="120" w:line="20" w:lineRule="atLeast"/>
        <w:ind w:left="1170" w:firstLine="0"/>
      </w:pPr>
      <w:r w:rsidRPr="00814A53">
        <w:t xml:space="preserve">An opportunity, if </w:t>
      </w:r>
      <w:r w:rsidR="00E7340B">
        <w:t>ARDOT</w:t>
      </w:r>
      <w:r w:rsidRPr="00814A53">
        <w:t xml:space="preserve"> </w:t>
      </w:r>
      <w:proofErr w:type="gramStart"/>
      <w:r w:rsidRPr="00814A53">
        <w:t>so elects</w:t>
      </w:r>
      <w:proofErr w:type="gramEnd"/>
      <w:r w:rsidRPr="00814A53">
        <w:t xml:space="preserve">, to cure such breach or default under such Encumbrance Agreement within such thirty (30) day period, provided that </w:t>
      </w:r>
      <w:r w:rsidR="00825BF5">
        <w:t>ARDOT</w:t>
      </w:r>
      <w:r w:rsidRPr="00814A53">
        <w:t xml:space="preserve"> shall have no obligation to cure any such breach or default.  To the extent </w:t>
      </w:r>
      <w:r w:rsidR="00825BF5">
        <w:t>ARDOT</w:t>
      </w:r>
      <w:r w:rsidRPr="00814A53">
        <w:t xml:space="preserve"> is not a party to any Encumbrance Agreement, it shall be designated as a third-party beneficiary of those provisions of such Encumbrance Agreement providing rights in favor of </w:t>
      </w:r>
      <w:r w:rsidR="00825BF5">
        <w:t>ARDOT</w:t>
      </w:r>
      <w:r w:rsidRPr="00814A53">
        <w:t xml:space="preserve"> under this </w:t>
      </w:r>
      <w:r w:rsidRPr="00B4798B">
        <w:t>document</w:t>
      </w:r>
      <w:r w:rsidRPr="00814A53">
        <w:t xml:space="preserve">. </w:t>
      </w:r>
      <w:r w:rsidR="004213DD">
        <w:t xml:space="preserve">The </w:t>
      </w:r>
      <w:r w:rsidR="002650D7">
        <w:t>Sponsor</w:t>
      </w:r>
      <w:r>
        <w:t xml:space="preserve"> or Site Host</w:t>
      </w:r>
      <w:r w:rsidRPr="00814A53">
        <w:t xml:space="preserve"> has provided copies of each Encumbrance Agreement as in effect on the Effective Date to </w:t>
      </w:r>
      <w:r w:rsidR="00E7340B">
        <w:t>ARDOT</w:t>
      </w:r>
      <w:r w:rsidRPr="00814A53">
        <w:t xml:space="preserve"> meeting all the requirements of this </w:t>
      </w:r>
      <w:bookmarkEnd w:id="8"/>
      <w:r w:rsidRPr="00B4798B">
        <w:t>document</w:t>
      </w:r>
      <w:r w:rsidRPr="00814A53">
        <w:t xml:space="preserve">.  The requirements of this </w:t>
      </w:r>
      <w:r w:rsidRPr="00B4798B">
        <w:t>document</w:t>
      </w:r>
      <w:r w:rsidRPr="00814A53">
        <w:t xml:space="preserve"> shall be deemed satisfied if all Encumbrance Agreements incorporate the provisions set forth </w:t>
      </w:r>
      <w:bookmarkEnd w:id="9"/>
      <w:r>
        <w:t>in this document</w:t>
      </w:r>
      <w:r w:rsidRPr="00814A53">
        <w:t xml:space="preserve">, with only such changes as are acceptable to </w:t>
      </w:r>
      <w:r w:rsidR="00825BF5">
        <w:t>ARDOT</w:t>
      </w:r>
      <w:r w:rsidRPr="00814A53">
        <w:t xml:space="preserve"> in its sole discretion.</w:t>
      </w:r>
    </w:p>
    <w:p w14:paraId="4EEB9D32" w14:textId="300E804C" w:rsidR="00624979" w:rsidRPr="00814A53" w:rsidRDefault="00624979" w:rsidP="00371F57">
      <w:pPr>
        <w:pStyle w:val="Level2"/>
        <w:numPr>
          <w:ilvl w:val="1"/>
          <w:numId w:val="1"/>
        </w:numPr>
        <w:spacing w:before="120" w:after="120" w:line="20" w:lineRule="atLeast"/>
        <w:ind w:firstLine="0"/>
        <w:rPr>
          <w:bCs/>
        </w:rPr>
      </w:pPr>
      <w:bookmarkStart w:id="10" w:name="_Ref135034541"/>
      <w:r w:rsidRPr="00814A53">
        <w:rPr>
          <w:b w:val="0"/>
          <w:bCs/>
        </w:rPr>
        <w:lastRenderedPageBreak/>
        <w:t xml:space="preserve">Promptly upon request from </w:t>
      </w:r>
      <w:r w:rsidR="00380C63">
        <w:rPr>
          <w:b w:val="0"/>
          <w:bCs/>
        </w:rPr>
        <w:t>ARDOT</w:t>
      </w:r>
      <w:r w:rsidRPr="00814A53">
        <w:rPr>
          <w:b w:val="0"/>
          <w:bCs/>
        </w:rPr>
        <w:t xml:space="preserve">, </w:t>
      </w:r>
      <w:r w:rsidR="000F38D7">
        <w:rPr>
          <w:b w:val="0"/>
          <w:bCs/>
        </w:rPr>
        <w:t xml:space="preserve">the </w:t>
      </w:r>
      <w:r w:rsidR="002650D7">
        <w:rPr>
          <w:b w:val="0"/>
          <w:bCs/>
        </w:rPr>
        <w:t>Sponsor</w:t>
      </w:r>
      <w:r>
        <w:rPr>
          <w:b w:val="0"/>
          <w:bCs/>
        </w:rPr>
        <w:t xml:space="preserve"> or Site Host</w:t>
      </w:r>
      <w:r w:rsidRPr="00814A53">
        <w:rPr>
          <w:b w:val="0"/>
          <w:bCs/>
        </w:rPr>
        <w:t xml:space="preserve"> shall provide such other information as </w:t>
      </w:r>
      <w:r w:rsidR="00380C63">
        <w:rPr>
          <w:b w:val="0"/>
          <w:bCs/>
        </w:rPr>
        <w:t>ARDOT</w:t>
      </w:r>
      <w:r w:rsidRPr="00814A53">
        <w:rPr>
          <w:b w:val="0"/>
          <w:bCs/>
        </w:rPr>
        <w:t xml:space="preserve"> deems necessary in connection with the rights required under this </w:t>
      </w:r>
      <w:r w:rsidRPr="00B4798B">
        <w:rPr>
          <w:b w:val="0"/>
          <w:bCs/>
        </w:rPr>
        <w:t>document</w:t>
      </w:r>
      <w:r w:rsidRPr="00814A53">
        <w:rPr>
          <w:b w:val="0"/>
          <w:bCs/>
        </w:rPr>
        <w:t xml:space="preserve">.  This may include personal property lien searches and the creation of a plan showing all real property acquired by </w:t>
      </w:r>
      <w:r w:rsidR="00287853">
        <w:rPr>
          <w:b w:val="0"/>
          <w:bCs/>
        </w:rPr>
        <w:t xml:space="preserve">the </w:t>
      </w:r>
      <w:r w:rsidR="002650D7">
        <w:rPr>
          <w:b w:val="0"/>
          <w:bCs/>
        </w:rPr>
        <w:t>Sponsor</w:t>
      </w:r>
      <w:r>
        <w:rPr>
          <w:b w:val="0"/>
          <w:bCs/>
        </w:rPr>
        <w:t xml:space="preserve"> or Site Host’s</w:t>
      </w:r>
      <w:r w:rsidRPr="00814A53">
        <w:rPr>
          <w:b w:val="0"/>
          <w:bCs/>
        </w:rPr>
        <w:t xml:space="preserve"> predecessors in title for the Site, including a designation of the nature of the predecessors' interests (</w:t>
      </w:r>
      <w:r w:rsidRPr="00814A53">
        <w:rPr>
          <w:b w:val="0"/>
          <w:bCs/>
          <w:i/>
        </w:rPr>
        <w:t>i.e.,</w:t>
      </w:r>
      <w:r w:rsidRPr="00814A53">
        <w:rPr>
          <w:b w:val="0"/>
          <w:bCs/>
        </w:rPr>
        <w:t xml:space="preserve"> whether in fee, easement or otherwise) and a notation of where the instruments conveying those interests are located. </w:t>
      </w:r>
      <w:r w:rsidR="00825BF5">
        <w:rPr>
          <w:b w:val="0"/>
          <w:bCs/>
        </w:rPr>
        <w:t>ARDOT</w:t>
      </w:r>
      <w:r w:rsidRPr="00814A53">
        <w:t xml:space="preserve"> </w:t>
      </w:r>
      <w:r w:rsidRPr="00814A53">
        <w:rPr>
          <w:b w:val="0"/>
          <w:bCs/>
        </w:rPr>
        <w:t>cannot issue a Notice to Proceed until such time as</w:t>
      </w:r>
      <w:r w:rsidR="009E4EC8">
        <w:rPr>
          <w:b w:val="0"/>
          <w:bCs/>
        </w:rPr>
        <w:t xml:space="preserve"> the</w:t>
      </w:r>
      <w:r w:rsidRPr="00814A53">
        <w:rPr>
          <w:b w:val="0"/>
          <w:bCs/>
        </w:rPr>
        <w:t xml:space="preserve"> </w:t>
      </w:r>
      <w:r w:rsidR="002650D7">
        <w:rPr>
          <w:b w:val="0"/>
          <w:bCs/>
        </w:rPr>
        <w:t>Sponsor</w:t>
      </w:r>
      <w:r>
        <w:rPr>
          <w:b w:val="0"/>
          <w:bCs/>
        </w:rPr>
        <w:t xml:space="preserve"> or Site Host</w:t>
      </w:r>
      <w:r w:rsidRPr="00814A53">
        <w:rPr>
          <w:b w:val="0"/>
          <w:bCs/>
        </w:rPr>
        <w:t xml:space="preserve"> has established a property interest in the Site, and all other property affected by the Site, sufficient to comply with the standards set forth in the NEVI Formula Program and by the Federal Highway Administration (FHWA), in </w:t>
      </w:r>
      <w:r w:rsidR="00380C63">
        <w:rPr>
          <w:b w:val="0"/>
          <w:bCs/>
        </w:rPr>
        <w:t>ARDOT</w:t>
      </w:r>
      <w:r w:rsidRPr="00814A53">
        <w:rPr>
          <w:b w:val="0"/>
          <w:bCs/>
        </w:rPr>
        <w:t>'s sole judgment and opinion.</w:t>
      </w:r>
      <w:r w:rsidRPr="00814A53" w:rsidDel="009D0DC3">
        <w:rPr>
          <w:rStyle w:val="FootnoteReference"/>
          <w:b w:val="0"/>
          <w:bCs/>
        </w:rPr>
        <w:t xml:space="preserve"> </w:t>
      </w:r>
      <w:bookmarkEnd w:id="10"/>
    </w:p>
    <w:p w14:paraId="3FFA7589" w14:textId="55545708" w:rsidR="00624979" w:rsidRPr="00C867AC" w:rsidRDefault="00D24C48" w:rsidP="00C867AC">
      <w:pPr>
        <w:pStyle w:val="Level2"/>
        <w:numPr>
          <w:ilvl w:val="1"/>
          <w:numId w:val="1"/>
        </w:numPr>
        <w:spacing w:before="120" w:after="0" w:line="20" w:lineRule="atLeast"/>
        <w:ind w:firstLine="0"/>
      </w:pPr>
      <w:bookmarkStart w:id="11" w:name="_Ref131515323"/>
      <w:r>
        <w:rPr>
          <w:b w:val="0"/>
          <w:bCs/>
        </w:rPr>
        <w:t xml:space="preserve">The </w:t>
      </w:r>
      <w:r w:rsidR="002650D7">
        <w:rPr>
          <w:b w:val="0"/>
          <w:bCs/>
        </w:rPr>
        <w:t>Sponsor</w:t>
      </w:r>
      <w:r w:rsidR="00624979" w:rsidRPr="00814A53">
        <w:rPr>
          <w:b w:val="0"/>
          <w:bCs/>
        </w:rPr>
        <w:t xml:space="preserve"> </w:t>
      </w:r>
      <w:r w:rsidR="00624979">
        <w:rPr>
          <w:b w:val="0"/>
          <w:bCs/>
        </w:rPr>
        <w:t xml:space="preserve">or Site Host </w:t>
      </w:r>
      <w:r w:rsidR="00624979" w:rsidRPr="00814A53">
        <w:rPr>
          <w:b w:val="0"/>
          <w:bCs/>
        </w:rPr>
        <w:t xml:space="preserve">may assign to its lenders and other financing parties as collateral security its rights under the Site Host </w:t>
      </w:r>
      <w:r w:rsidR="007C6F49">
        <w:rPr>
          <w:b w:val="0"/>
          <w:bCs/>
        </w:rPr>
        <w:t>Memorandum of Understanding</w:t>
      </w:r>
      <w:r w:rsidR="007C6F49" w:rsidRPr="00814A53">
        <w:rPr>
          <w:b w:val="0"/>
          <w:bCs/>
        </w:rPr>
        <w:t xml:space="preserve"> </w:t>
      </w:r>
      <w:r w:rsidR="00624979" w:rsidRPr="00814A53">
        <w:rPr>
          <w:b w:val="0"/>
          <w:bCs/>
        </w:rPr>
        <w:t xml:space="preserve">and may grant liens and security interests to its lenders and other financing parties in Project EVSE, provided that any such assignment, grant, fixture filing, securitization agreement, or other collateralization agreement is subject to, and gives full effect, to all of the rights in favor of </w:t>
      </w:r>
      <w:r w:rsidR="00825BF5">
        <w:rPr>
          <w:b w:val="0"/>
          <w:bCs/>
        </w:rPr>
        <w:t>ARDOT</w:t>
      </w:r>
      <w:r w:rsidR="00624979" w:rsidRPr="00814A53">
        <w:rPr>
          <w:b w:val="0"/>
          <w:bCs/>
        </w:rPr>
        <w:t xml:space="preserve"> under this </w:t>
      </w:r>
      <w:r w:rsidR="00624979" w:rsidRPr="00B4798B">
        <w:rPr>
          <w:b w:val="0"/>
          <w:bCs/>
        </w:rPr>
        <w:t>document,</w:t>
      </w:r>
      <w:r w:rsidR="00624979" w:rsidRPr="00814A53">
        <w:rPr>
          <w:b w:val="0"/>
          <w:bCs/>
        </w:rPr>
        <w:t xml:space="preserve"> under </w:t>
      </w:r>
      <w:r w:rsidR="00624979">
        <w:rPr>
          <w:b w:val="0"/>
          <w:bCs/>
        </w:rPr>
        <w:t>any agreements between the Parties</w:t>
      </w:r>
      <w:r w:rsidR="00624979" w:rsidRPr="00814A53">
        <w:rPr>
          <w:b w:val="0"/>
          <w:bCs/>
        </w:rPr>
        <w:t>, and under all applicable Encumbrance Agreements (collectively, the “</w:t>
      </w:r>
      <w:r w:rsidR="00825BF5">
        <w:rPr>
          <w:b w:val="0"/>
          <w:bCs/>
          <w:u w:val="single"/>
        </w:rPr>
        <w:t>ARDOT</w:t>
      </w:r>
      <w:r w:rsidR="00624979" w:rsidRPr="00814A53">
        <w:t xml:space="preserve"> </w:t>
      </w:r>
      <w:r w:rsidR="00624979" w:rsidRPr="00814A53">
        <w:rPr>
          <w:b w:val="0"/>
          <w:bCs/>
          <w:u w:val="single"/>
        </w:rPr>
        <w:t>Property Interest</w:t>
      </w:r>
      <w:r w:rsidR="00624979" w:rsidRPr="00814A53">
        <w:rPr>
          <w:b w:val="0"/>
          <w:bCs/>
        </w:rPr>
        <w:t>”).</w:t>
      </w:r>
      <w:bookmarkEnd w:id="2"/>
      <w:bookmarkEnd w:id="11"/>
    </w:p>
    <w:p w14:paraId="69848DFD" w14:textId="77777777" w:rsidR="00404F22" w:rsidRPr="00500BF8" w:rsidRDefault="00404F22" w:rsidP="00C867AC">
      <w:pPr>
        <w:pStyle w:val="Level2"/>
        <w:spacing w:before="120" w:after="0" w:line="20" w:lineRule="atLeast"/>
        <w:ind w:firstLine="0"/>
      </w:pPr>
    </w:p>
    <w:p w14:paraId="76053157" w14:textId="1F9BA713" w:rsidR="00404F22" w:rsidRDefault="007B3F16" w:rsidP="00404F22">
      <w:pPr>
        <w:spacing w:line="20" w:lineRule="atLeast"/>
        <w:jc w:val="both"/>
        <w:rPr>
          <w:rFonts w:ascii="Times New Roman" w:hAnsi="Times New Roman"/>
          <w:sz w:val="24"/>
          <w:szCs w:val="24"/>
        </w:rPr>
      </w:pPr>
      <w:r>
        <w:rPr>
          <w:rFonts w:ascii="Times New Roman" w:hAnsi="Times New Roman"/>
          <w:b/>
          <w:bCs/>
          <w:caps/>
          <w:sz w:val="24"/>
          <w:szCs w:val="24"/>
        </w:rPr>
        <w:t>Parties</w:t>
      </w:r>
      <w:r w:rsidR="00404F22" w:rsidRPr="00C867AC">
        <w:rPr>
          <w:rFonts w:ascii="Times New Roman" w:hAnsi="Times New Roman"/>
          <w:b/>
          <w:bCs/>
          <w:caps/>
          <w:sz w:val="24"/>
          <w:szCs w:val="24"/>
        </w:rPr>
        <w:t xml:space="preserve"> and Signatures</w:t>
      </w:r>
    </w:p>
    <w:p w14:paraId="2A1D7C22" w14:textId="5BD2648A" w:rsidR="00404F22" w:rsidRPr="00814A53" w:rsidRDefault="00404F22" w:rsidP="00404F22">
      <w:pPr>
        <w:spacing w:line="20" w:lineRule="atLeast"/>
        <w:jc w:val="both"/>
        <w:rPr>
          <w:rFonts w:ascii="Times New Roman" w:eastAsia="Times New Roman" w:hAnsi="Times New Roman"/>
          <w:sz w:val="24"/>
          <w:szCs w:val="24"/>
        </w:rPr>
      </w:pPr>
      <w:r w:rsidRPr="00814A53">
        <w:rPr>
          <w:rFonts w:ascii="Times New Roman" w:hAnsi="Times New Roman"/>
          <w:sz w:val="24"/>
          <w:szCs w:val="24"/>
        </w:rPr>
        <w:t xml:space="preserve">The individuals signing hereby certify by their signatures that they are authorized to sign this </w:t>
      </w:r>
      <w:r w:rsidR="007C6F49">
        <w:rPr>
          <w:rFonts w:ascii="Times New Roman" w:hAnsi="Times New Roman"/>
          <w:sz w:val="24"/>
          <w:szCs w:val="24"/>
        </w:rPr>
        <w:t>Memorandum of Understanding</w:t>
      </w:r>
      <w:r w:rsidRPr="00814A53">
        <w:rPr>
          <w:rFonts w:ascii="Times New Roman" w:hAnsi="Times New Roman"/>
          <w:sz w:val="24"/>
          <w:szCs w:val="24"/>
        </w:rPr>
        <w:t xml:space="preserve"> on behalf of themselves or their organization and that the </w:t>
      </w:r>
      <w:r w:rsidRPr="00814A53">
        <w:rPr>
          <w:rFonts w:ascii="Times New Roman" w:hAnsi="Times New Roman"/>
          <w:spacing w:val="-2"/>
          <w:sz w:val="24"/>
          <w:szCs w:val="24"/>
        </w:rPr>
        <w:t>Parties</w:t>
      </w:r>
      <w:r w:rsidRPr="00814A53" w:rsidDel="00A95956">
        <w:rPr>
          <w:rFonts w:ascii="Times New Roman" w:hAnsi="Times New Roman"/>
          <w:sz w:val="24"/>
          <w:szCs w:val="24"/>
        </w:rPr>
        <w:t xml:space="preserve"> </w:t>
      </w:r>
      <w:r w:rsidRPr="00814A53">
        <w:rPr>
          <w:rFonts w:ascii="Times New Roman" w:hAnsi="Times New Roman"/>
          <w:sz w:val="24"/>
          <w:szCs w:val="24"/>
        </w:rPr>
        <w:t xml:space="preserve">will fulfill the terms of this </w:t>
      </w:r>
      <w:r w:rsidR="007C6F49">
        <w:rPr>
          <w:rFonts w:ascii="Times New Roman" w:hAnsi="Times New Roman"/>
          <w:sz w:val="24"/>
          <w:szCs w:val="24"/>
        </w:rPr>
        <w:t>Memorandum of Understanding</w:t>
      </w:r>
      <w:r w:rsidRPr="00814A53">
        <w:rPr>
          <w:rFonts w:ascii="Times New Roman" w:hAnsi="Times New Roman"/>
          <w:sz w:val="24"/>
          <w:szCs w:val="24"/>
        </w:rPr>
        <w:t>.</w:t>
      </w:r>
    </w:p>
    <w:p w14:paraId="040C0456" w14:textId="6D0A1381" w:rsidR="002D1BDC" w:rsidRPr="002D1BDC" w:rsidRDefault="00EB232D" w:rsidP="00C867AC">
      <w:pPr>
        <w:pStyle w:val="ListParagraph"/>
        <w:spacing w:line="20" w:lineRule="atLeast"/>
        <w:ind w:left="0"/>
        <w:jc w:val="both"/>
        <w:rPr>
          <w:rFonts w:ascii="Times New Roman" w:hAnsi="Times New Roman"/>
          <w:sz w:val="24"/>
          <w:szCs w:val="24"/>
        </w:rPr>
      </w:pPr>
      <w:r w:rsidRPr="00C867AC">
        <w:rPr>
          <w:rFonts w:ascii="Times New Roman" w:hAnsi="Times New Roman"/>
          <w:b/>
          <w:bCs/>
          <w:sz w:val="24"/>
          <w:szCs w:val="24"/>
        </w:rPr>
        <w:t>IN WITNESS WHEREOF</w:t>
      </w:r>
      <w:r>
        <w:rPr>
          <w:rFonts w:ascii="Times New Roman" w:hAnsi="Times New Roman"/>
          <w:sz w:val="24"/>
          <w:szCs w:val="24"/>
        </w:rPr>
        <w:t xml:space="preserve">, the parties thereto have executed this </w:t>
      </w:r>
      <w:r w:rsidR="007C6F49">
        <w:rPr>
          <w:rFonts w:ascii="Times New Roman" w:hAnsi="Times New Roman"/>
          <w:sz w:val="24"/>
          <w:szCs w:val="24"/>
        </w:rPr>
        <w:t>Memorandum of Understanding</w:t>
      </w:r>
      <w:r>
        <w:rPr>
          <w:rFonts w:ascii="Times New Roman" w:hAnsi="Times New Roman"/>
          <w:sz w:val="24"/>
          <w:szCs w:val="24"/>
        </w:rPr>
        <w:t xml:space="preserve"> on this ______ day of _________________, 20___.</w:t>
      </w:r>
    </w:p>
    <w:tbl>
      <w:tblPr>
        <w:tblW w:w="9360" w:type="dxa"/>
        <w:tblInd w:w="108" w:type="dxa"/>
        <w:tblLayout w:type="fixed"/>
        <w:tblLook w:val="0000" w:firstRow="0" w:lastRow="0" w:firstColumn="0" w:lastColumn="0" w:noHBand="0" w:noVBand="0"/>
      </w:tblPr>
      <w:tblGrid>
        <w:gridCol w:w="4500"/>
        <w:gridCol w:w="630"/>
        <w:gridCol w:w="4230"/>
      </w:tblGrid>
      <w:tr w:rsidR="002D1BDC" w:rsidRPr="00814A53" w14:paraId="409E8F34" w14:textId="77777777" w:rsidTr="004F110B">
        <w:trPr>
          <w:cantSplit/>
        </w:trPr>
        <w:tc>
          <w:tcPr>
            <w:tcW w:w="4500" w:type="dxa"/>
          </w:tcPr>
          <w:p w14:paraId="5C0F15CE" w14:textId="23217DDD" w:rsidR="002D1BDC" w:rsidRPr="00814A53" w:rsidRDefault="00BE5D1F" w:rsidP="004F110B">
            <w:pPr>
              <w:spacing w:line="20" w:lineRule="atLeast"/>
              <w:contextualSpacing/>
              <w:jc w:val="center"/>
              <w:rPr>
                <w:rFonts w:ascii="Times New Roman" w:hAnsi="Times New Roman"/>
                <w:b/>
                <w:bCs/>
                <w:sz w:val="24"/>
                <w:szCs w:val="24"/>
              </w:rPr>
            </w:pPr>
            <w:r w:rsidRPr="00BE5D1F">
              <w:rPr>
                <w:rFonts w:ascii="Times New Roman" w:hAnsi="Times New Roman"/>
                <w:b/>
                <w:bCs/>
                <w:sz w:val="24"/>
                <w:szCs w:val="24"/>
                <w:highlight w:val="green"/>
              </w:rPr>
              <w:t>SPONSOR</w:t>
            </w:r>
          </w:p>
        </w:tc>
        <w:tc>
          <w:tcPr>
            <w:tcW w:w="630" w:type="dxa"/>
          </w:tcPr>
          <w:p w14:paraId="49C47360" w14:textId="77777777" w:rsidR="002D1BDC" w:rsidRPr="00814A53" w:rsidRDefault="002D1BDC" w:rsidP="004F110B">
            <w:pPr>
              <w:spacing w:line="20" w:lineRule="atLeast"/>
              <w:jc w:val="center"/>
              <w:rPr>
                <w:rFonts w:ascii="Times New Roman" w:hAnsi="Times New Roman"/>
                <w:sz w:val="24"/>
                <w:szCs w:val="24"/>
              </w:rPr>
            </w:pPr>
          </w:p>
        </w:tc>
        <w:tc>
          <w:tcPr>
            <w:tcW w:w="4230" w:type="dxa"/>
            <w:vAlign w:val="center"/>
          </w:tcPr>
          <w:p w14:paraId="108B072A" w14:textId="7056C6A4" w:rsidR="002D1BDC" w:rsidRPr="00814A53" w:rsidRDefault="0026782F" w:rsidP="004F110B">
            <w:pPr>
              <w:spacing w:line="20" w:lineRule="atLeast"/>
              <w:jc w:val="center"/>
              <w:rPr>
                <w:rFonts w:ascii="Times New Roman" w:hAnsi="Times New Roman"/>
                <w:b/>
                <w:bCs/>
                <w:sz w:val="24"/>
                <w:szCs w:val="24"/>
              </w:rPr>
            </w:pPr>
            <w:r w:rsidRPr="0026782F">
              <w:rPr>
                <w:rFonts w:ascii="Times New Roman" w:hAnsi="Times New Roman"/>
                <w:b/>
                <w:bCs/>
                <w:sz w:val="24"/>
                <w:szCs w:val="24"/>
                <w:highlight w:val="green"/>
              </w:rPr>
              <w:t>SITE HOST</w:t>
            </w:r>
          </w:p>
        </w:tc>
      </w:tr>
      <w:tr w:rsidR="002D1BDC" w:rsidRPr="00814A53" w14:paraId="448ACF32" w14:textId="77777777" w:rsidTr="004F110B">
        <w:trPr>
          <w:cantSplit/>
          <w:trHeight w:val="972"/>
        </w:trPr>
        <w:tc>
          <w:tcPr>
            <w:tcW w:w="4500" w:type="dxa"/>
            <w:tcBorders>
              <w:bottom w:val="single" w:sz="4" w:space="0" w:color="auto"/>
            </w:tcBorders>
          </w:tcPr>
          <w:p w14:paraId="1DE89988" w14:textId="74E1909F" w:rsidR="002D1BDC" w:rsidRPr="00814A53" w:rsidRDefault="008047AE" w:rsidP="00C867AC">
            <w:pPr>
              <w:tabs>
                <w:tab w:val="left" w:pos="1601"/>
              </w:tabs>
              <w:spacing w:line="20" w:lineRule="atLeast"/>
              <w:rPr>
                <w:rFonts w:ascii="Times New Roman" w:hAnsi="Times New Roman"/>
                <w:sz w:val="24"/>
                <w:szCs w:val="24"/>
              </w:rPr>
            </w:pPr>
            <w:r>
              <w:rPr>
                <w:rFonts w:ascii="Times New Roman" w:hAnsi="Times New Roman"/>
                <w:sz w:val="24"/>
                <w:szCs w:val="24"/>
              </w:rPr>
              <w:tab/>
            </w:r>
          </w:p>
        </w:tc>
        <w:tc>
          <w:tcPr>
            <w:tcW w:w="630" w:type="dxa"/>
          </w:tcPr>
          <w:p w14:paraId="7F56AF80" w14:textId="77777777" w:rsidR="002D1BDC" w:rsidRPr="00814A53" w:rsidRDefault="002D1BDC" w:rsidP="004F110B">
            <w:pPr>
              <w:spacing w:line="20" w:lineRule="atLeast"/>
              <w:rPr>
                <w:rFonts w:ascii="Times New Roman" w:hAnsi="Times New Roman"/>
                <w:sz w:val="24"/>
                <w:szCs w:val="24"/>
              </w:rPr>
            </w:pPr>
          </w:p>
        </w:tc>
        <w:tc>
          <w:tcPr>
            <w:tcW w:w="4230" w:type="dxa"/>
            <w:tcBorders>
              <w:bottom w:val="single" w:sz="4" w:space="0" w:color="auto"/>
            </w:tcBorders>
          </w:tcPr>
          <w:p w14:paraId="3B97AB13" w14:textId="77777777" w:rsidR="002D1BDC" w:rsidRPr="00814A53" w:rsidRDefault="002D1BDC" w:rsidP="004F110B">
            <w:pPr>
              <w:spacing w:line="20" w:lineRule="atLeast"/>
              <w:rPr>
                <w:rFonts w:ascii="Times New Roman" w:hAnsi="Times New Roman"/>
                <w:sz w:val="24"/>
                <w:szCs w:val="24"/>
              </w:rPr>
            </w:pPr>
          </w:p>
        </w:tc>
      </w:tr>
      <w:tr w:rsidR="002D1BDC" w:rsidRPr="00814A53" w14:paraId="13415672" w14:textId="77777777" w:rsidTr="004F110B">
        <w:trPr>
          <w:cantSplit/>
        </w:trPr>
        <w:tc>
          <w:tcPr>
            <w:tcW w:w="4500" w:type="dxa"/>
            <w:tcBorders>
              <w:top w:val="single" w:sz="4" w:space="0" w:color="auto"/>
            </w:tcBorders>
          </w:tcPr>
          <w:p w14:paraId="1C3B7C18" w14:textId="1201DD70" w:rsidR="002D1BDC" w:rsidRPr="00BE5D1F" w:rsidRDefault="00BE5D1F" w:rsidP="004F110B">
            <w:pPr>
              <w:tabs>
                <w:tab w:val="left" w:pos="864"/>
              </w:tabs>
              <w:spacing w:after="0" w:line="20" w:lineRule="atLeast"/>
              <w:jc w:val="center"/>
              <w:rPr>
                <w:rFonts w:ascii="Times New Roman" w:hAnsi="Times New Roman"/>
                <w:sz w:val="24"/>
                <w:szCs w:val="24"/>
                <w:highlight w:val="green"/>
              </w:rPr>
            </w:pPr>
            <w:r w:rsidRPr="00BE5D1F">
              <w:rPr>
                <w:rFonts w:ascii="Times New Roman" w:hAnsi="Times New Roman"/>
                <w:noProof/>
                <w:sz w:val="24"/>
                <w:szCs w:val="24"/>
                <w:highlight w:val="green"/>
              </w:rPr>
              <w:t>Sponsor Authorizing Agent’s Name</w:t>
            </w:r>
          </w:p>
          <w:p w14:paraId="311470C6" w14:textId="46EBE883" w:rsidR="002D1BDC" w:rsidRPr="00814A53" w:rsidRDefault="00BE5D1F" w:rsidP="00BE5D1F">
            <w:pPr>
              <w:spacing w:line="20" w:lineRule="atLeast"/>
              <w:jc w:val="center"/>
              <w:rPr>
                <w:rFonts w:ascii="Times New Roman" w:hAnsi="Times New Roman"/>
                <w:sz w:val="24"/>
                <w:szCs w:val="24"/>
              </w:rPr>
            </w:pPr>
            <w:r w:rsidRPr="00BE5D1F">
              <w:rPr>
                <w:rFonts w:ascii="Times New Roman" w:hAnsi="Times New Roman"/>
                <w:sz w:val="24"/>
                <w:szCs w:val="24"/>
                <w:highlight w:val="green"/>
              </w:rPr>
              <w:t>Title</w:t>
            </w:r>
          </w:p>
        </w:tc>
        <w:tc>
          <w:tcPr>
            <w:tcW w:w="630" w:type="dxa"/>
          </w:tcPr>
          <w:p w14:paraId="78371D6A" w14:textId="77777777" w:rsidR="002D1BDC" w:rsidRPr="00814A53" w:rsidRDefault="002D1BDC" w:rsidP="004F110B">
            <w:pPr>
              <w:spacing w:line="20" w:lineRule="atLeast"/>
              <w:rPr>
                <w:rFonts w:ascii="Times New Roman" w:hAnsi="Times New Roman"/>
                <w:sz w:val="24"/>
                <w:szCs w:val="24"/>
              </w:rPr>
            </w:pPr>
          </w:p>
        </w:tc>
        <w:tc>
          <w:tcPr>
            <w:tcW w:w="4230" w:type="dxa"/>
            <w:tcBorders>
              <w:top w:val="single" w:sz="4" w:space="0" w:color="auto"/>
            </w:tcBorders>
          </w:tcPr>
          <w:p w14:paraId="75706244" w14:textId="3231F2CE" w:rsidR="002D1BDC" w:rsidRDefault="002D1BDC" w:rsidP="004F110B">
            <w:pPr>
              <w:tabs>
                <w:tab w:val="left" w:pos="864"/>
              </w:tabs>
              <w:spacing w:after="0" w:line="20" w:lineRule="atLeast"/>
              <w:jc w:val="center"/>
              <w:rPr>
                <w:rFonts w:ascii="Times New Roman" w:hAnsi="Times New Roman"/>
                <w:noProof/>
                <w:sz w:val="24"/>
                <w:szCs w:val="24"/>
              </w:rPr>
            </w:pPr>
            <w:r>
              <w:rPr>
                <w:rFonts w:ascii="Times New Roman" w:hAnsi="Times New Roman"/>
                <w:sz w:val="24"/>
                <w:szCs w:val="24"/>
              </w:rPr>
              <w:t xml:space="preserve">    </w:t>
            </w:r>
            <w:r w:rsidR="0026782F">
              <w:rPr>
                <w:rFonts w:ascii="Times New Roman" w:hAnsi="Times New Roman"/>
                <w:noProof/>
                <w:sz w:val="24"/>
                <w:szCs w:val="24"/>
                <w:highlight w:val="green"/>
              </w:rPr>
              <w:t xml:space="preserve">Site Host </w:t>
            </w:r>
            <w:r w:rsidR="001C4947">
              <w:rPr>
                <w:rFonts w:ascii="Times New Roman" w:hAnsi="Times New Roman"/>
                <w:noProof/>
                <w:sz w:val="24"/>
                <w:szCs w:val="24"/>
                <w:highlight w:val="green"/>
              </w:rPr>
              <w:t>Authorizing Agent’s</w:t>
            </w:r>
            <w:r w:rsidRPr="00624979">
              <w:rPr>
                <w:rFonts w:ascii="Times New Roman" w:hAnsi="Times New Roman"/>
                <w:noProof/>
                <w:sz w:val="24"/>
                <w:szCs w:val="24"/>
                <w:highlight w:val="green"/>
              </w:rPr>
              <w:t xml:space="preserve"> </w:t>
            </w:r>
            <w:r w:rsidR="0026782F">
              <w:rPr>
                <w:rFonts w:ascii="Times New Roman" w:hAnsi="Times New Roman"/>
                <w:noProof/>
                <w:sz w:val="24"/>
                <w:szCs w:val="24"/>
              </w:rPr>
              <w:t>Signature</w:t>
            </w:r>
          </w:p>
          <w:p w14:paraId="35648951" w14:textId="4B14ABDB" w:rsidR="0026782F" w:rsidRDefault="0026782F" w:rsidP="004F110B">
            <w:pPr>
              <w:tabs>
                <w:tab w:val="left" w:pos="864"/>
              </w:tabs>
              <w:spacing w:after="0" w:line="20" w:lineRule="atLeast"/>
              <w:jc w:val="center"/>
              <w:rPr>
                <w:rFonts w:ascii="Times New Roman" w:hAnsi="Times New Roman"/>
                <w:noProof/>
                <w:sz w:val="24"/>
                <w:szCs w:val="24"/>
              </w:rPr>
            </w:pPr>
            <w:r>
              <w:rPr>
                <w:rFonts w:ascii="Times New Roman" w:hAnsi="Times New Roman"/>
                <w:noProof/>
                <w:sz w:val="24"/>
                <w:szCs w:val="24"/>
              </w:rPr>
              <w:t>_________________________________</w:t>
            </w:r>
          </w:p>
          <w:p w14:paraId="73B9D15B" w14:textId="6EB281DD" w:rsidR="0026782F" w:rsidRDefault="0026782F" w:rsidP="004F110B">
            <w:pPr>
              <w:tabs>
                <w:tab w:val="left" w:pos="864"/>
              </w:tabs>
              <w:spacing w:after="0" w:line="20" w:lineRule="atLeast"/>
              <w:jc w:val="center"/>
              <w:rPr>
                <w:rFonts w:ascii="Times New Roman" w:hAnsi="Times New Roman"/>
                <w:noProof/>
                <w:sz w:val="24"/>
                <w:szCs w:val="24"/>
              </w:rPr>
            </w:pPr>
            <w:r>
              <w:rPr>
                <w:rFonts w:ascii="Times New Roman" w:hAnsi="Times New Roman"/>
                <w:noProof/>
                <w:sz w:val="24"/>
                <w:szCs w:val="24"/>
                <w:highlight w:val="green"/>
              </w:rPr>
              <w:t xml:space="preserve">Site Host Authorizing </w:t>
            </w:r>
            <w:r w:rsidRPr="0026782F">
              <w:rPr>
                <w:rFonts w:ascii="Times New Roman" w:hAnsi="Times New Roman"/>
                <w:noProof/>
                <w:sz w:val="24"/>
                <w:szCs w:val="24"/>
                <w:highlight w:val="green"/>
              </w:rPr>
              <w:t>Agent’s Printed</w:t>
            </w:r>
            <w:r>
              <w:rPr>
                <w:rFonts w:ascii="Times New Roman" w:hAnsi="Times New Roman"/>
                <w:noProof/>
                <w:sz w:val="24"/>
                <w:szCs w:val="24"/>
              </w:rPr>
              <w:t xml:space="preserve"> Name</w:t>
            </w:r>
          </w:p>
          <w:p w14:paraId="2AA8DC93" w14:textId="77777777" w:rsidR="0026782F" w:rsidRDefault="0026782F" w:rsidP="004F110B">
            <w:pPr>
              <w:tabs>
                <w:tab w:val="left" w:pos="864"/>
              </w:tabs>
              <w:spacing w:after="0" w:line="20" w:lineRule="atLeast"/>
              <w:jc w:val="center"/>
              <w:rPr>
                <w:rFonts w:ascii="Times New Roman" w:hAnsi="Times New Roman"/>
                <w:noProof/>
                <w:sz w:val="24"/>
                <w:szCs w:val="24"/>
              </w:rPr>
            </w:pPr>
          </w:p>
          <w:p w14:paraId="6EDE2F93" w14:textId="471937F0" w:rsidR="0026782F" w:rsidRDefault="0026782F" w:rsidP="004F110B">
            <w:pPr>
              <w:tabs>
                <w:tab w:val="left" w:pos="864"/>
              </w:tabs>
              <w:spacing w:after="0" w:line="20" w:lineRule="atLeast"/>
              <w:jc w:val="center"/>
              <w:rPr>
                <w:rFonts w:ascii="Times New Roman" w:hAnsi="Times New Roman"/>
                <w:noProof/>
                <w:sz w:val="24"/>
                <w:szCs w:val="24"/>
              </w:rPr>
            </w:pPr>
            <w:r>
              <w:rPr>
                <w:rFonts w:ascii="Times New Roman" w:hAnsi="Times New Roman"/>
                <w:noProof/>
                <w:sz w:val="24"/>
                <w:szCs w:val="24"/>
              </w:rPr>
              <w:t>_________________________________</w:t>
            </w:r>
          </w:p>
          <w:p w14:paraId="5BEC07DD" w14:textId="38221BF9" w:rsidR="0026782F" w:rsidRDefault="0026782F" w:rsidP="0026782F">
            <w:pPr>
              <w:tabs>
                <w:tab w:val="left" w:pos="864"/>
              </w:tabs>
              <w:spacing w:after="0" w:line="20" w:lineRule="atLeast"/>
              <w:jc w:val="center"/>
              <w:rPr>
                <w:rFonts w:ascii="Times New Roman" w:hAnsi="Times New Roman"/>
                <w:noProof/>
                <w:sz w:val="24"/>
                <w:szCs w:val="24"/>
              </w:rPr>
            </w:pPr>
            <w:r w:rsidRPr="00624979">
              <w:rPr>
                <w:rFonts w:ascii="Times New Roman" w:hAnsi="Times New Roman"/>
                <w:noProof/>
                <w:sz w:val="24"/>
                <w:szCs w:val="24"/>
                <w:highlight w:val="green"/>
              </w:rPr>
              <w:t>Title</w:t>
            </w:r>
          </w:p>
          <w:p w14:paraId="2EC33E7F" w14:textId="77777777" w:rsidR="002D1BDC" w:rsidRPr="00814A53" w:rsidRDefault="002D1BDC" w:rsidP="004F110B">
            <w:pPr>
              <w:spacing w:after="0" w:line="20" w:lineRule="atLeast"/>
              <w:rPr>
                <w:rFonts w:ascii="Times New Roman" w:hAnsi="Times New Roman"/>
                <w:sz w:val="24"/>
                <w:szCs w:val="24"/>
              </w:rPr>
            </w:pPr>
          </w:p>
        </w:tc>
      </w:tr>
    </w:tbl>
    <w:p w14:paraId="03BAFD73" w14:textId="77777777" w:rsidR="00761387" w:rsidRDefault="00761387"/>
    <w:sectPr w:rsidR="00761387" w:rsidSect="00C867AC">
      <w:headerReference w:type="default" r:id="rId7"/>
      <w:footerReference w:type="default" r:id="rId8"/>
      <w:headerReference w:type="first" r:id="rId9"/>
      <w:footerReference w:type="first" r:id="rId10"/>
      <w:pgSz w:w="12240" w:h="15840" w:code="1"/>
      <w:pgMar w:top="1152" w:right="1368" w:bottom="245" w:left="1368" w:header="360" w:footer="36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04FE7" w14:textId="77777777" w:rsidR="008D286F" w:rsidRDefault="008D286F" w:rsidP="00624979">
      <w:pPr>
        <w:spacing w:after="0" w:line="240" w:lineRule="auto"/>
      </w:pPr>
      <w:r>
        <w:separator/>
      </w:r>
    </w:p>
  </w:endnote>
  <w:endnote w:type="continuationSeparator" w:id="0">
    <w:p w14:paraId="41239E47" w14:textId="77777777" w:rsidR="008D286F" w:rsidRDefault="008D286F" w:rsidP="0062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CE04" w14:textId="0AC27EE2" w:rsidR="00624979" w:rsidRDefault="00624979" w:rsidP="00C867AC">
    <w:pPr>
      <w:pStyle w:val="Footer"/>
      <w:jc w:val="center"/>
    </w:pPr>
    <w:r w:rsidRPr="00A00DAF">
      <w:rPr>
        <w:rFonts w:ascii="Times New Roman" w:hAnsi="Times New Roman"/>
        <w:sz w:val="23"/>
        <w:szCs w:val="23"/>
      </w:rPr>
      <w:fldChar w:fldCharType="begin"/>
    </w:r>
    <w:r w:rsidRPr="00A00DAF">
      <w:rPr>
        <w:rFonts w:ascii="Times New Roman" w:hAnsi="Times New Roman"/>
        <w:sz w:val="23"/>
        <w:szCs w:val="23"/>
      </w:rPr>
      <w:instrText xml:space="preserve"> PAGE   \* MERGEFORMAT </w:instrText>
    </w:r>
    <w:r w:rsidRPr="00A00DAF">
      <w:rPr>
        <w:rFonts w:ascii="Times New Roman" w:hAnsi="Times New Roman"/>
        <w:sz w:val="23"/>
        <w:szCs w:val="23"/>
      </w:rPr>
      <w:fldChar w:fldCharType="separate"/>
    </w:r>
    <w:r>
      <w:rPr>
        <w:rFonts w:ascii="Times New Roman" w:hAnsi="Times New Roman"/>
        <w:noProof/>
        <w:sz w:val="23"/>
        <w:szCs w:val="23"/>
      </w:rPr>
      <w:t>- 6 -</w:t>
    </w:r>
    <w:r w:rsidRPr="00A00DAF">
      <w:rPr>
        <w:rFonts w:ascii="Times New Roman" w:hAnsi="Times New Roman"/>
        <w:sz w:val="23"/>
        <w:szCs w:val="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C81D" w14:textId="39866370" w:rsidR="00624979" w:rsidRDefault="00624979" w:rsidP="00C867AC">
    <w:pPr>
      <w:pStyle w:val="Footer"/>
      <w:jc w:val="center"/>
    </w:pPr>
    <w:r w:rsidRPr="00A00DAF">
      <w:rPr>
        <w:rFonts w:ascii="Times New Roman" w:hAnsi="Times New Roman"/>
        <w:sz w:val="23"/>
        <w:szCs w:val="23"/>
      </w:rPr>
      <w:fldChar w:fldCharType="begin"/>
    </w:r>
    <w:r w:rsidRPr="00A00DAF">
      <w:rPr>
        <w:rFonts w:ascii="Times New Roman" w:hAnsi="Times New Roman"/>
        <w:sz w:val="23"/>
        <w:szCs w:val="23"/>
      </w:rPr>
      <w:instrText xml:space="preserve"> PAGE   \* MERGEFORMAT </w:instrText>
    </w:r>
    <w:r w:rsidRPr="00A00DAF">
      <w:rPr>
        <w:rFonts w:ascii="Times New Roman" w:hAnsi="Times New Roman"/>
        <w:sz w:val="23"/>
        <w:szCs w:val="23"/>
      </w:rPr>
      <w:fldChar w:fldCharType="separate"/>
    </w:r>
    <w:r>
      <w:rPr>
        <w:rFonts w:ascii="Times New Roman" w:hAnsi="Times New Roman"/>
        <w:noProof/>
        <w:sz w:val="23"/>
        <w:szCs w:val="23"/>
      </w:rPr>
      <w:t>- 1 -</w:t>
    </w:r>
    <w:r w:rsidRPr="00A00DAF">
      <w:rPr>
        <w:rFonts w:ascii="Times New Roman" w:hAnsi="Times New Roman"/>
        <w:sz w:val="23"/>
        <w:szCs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770B" w14:textId="77777777" w:rsidR="008D286F" w:rsidRDefault="008D286F" w:rsidP="00624979">
      <w:pPr>
        <w:spacing w:after="0" w:line="240" w:lineRule="auto"/>
      </w:pPr>
      <w:r>
        <w:separator/>
      </w:r>
    </w:p>
  </w:footnote>
  <w:footnote w:type="continuationSeparator" w:id="0">
    <w:p w14:paraId="07107674" w14:textId="77777777" w:rsidR="008D286F" w:rsidRDefault="008D286F" w:rsidP="00624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A96D" w14:textId="1342843E" w:rsidR="00624979" w:rsidRDefault="00624979" w:rsidP="00C867AC">
    <w:pPr>
      <w:pStyle w:val="Header"/>
      <w:tabs>
        <w:tab w:val="clear" w:pos="4680"/>
      </w:tabs>
      <w:spacing w:after="0" w:line="240" w:lineRule="auto"/>
      <w:rPr>
        <w:rFonts w:ascii="Times New Roman" w:hAnsi="Times New Roman"/>
        <w:sz w:val="18"/>
      </w:rPr>
    </w:pPr>
    <w:r>
      <w:rPr>
        <w:rFonts w:ascii="Times New Roman" w:hAnsi="Times New Roman"/>
        <w:sz w:val="18"/>
      </w:rPr>
      <w:tab/>
    </w:r>
    <w:r w:rsidR="00CA6D59">
      <w:rPr>
        <w:rFonts w:ascii="Times New Roman" w:hAnsi="Times New Roman"/>
        <w:sz w:val="18"/>
      </w:rPr>
      <w:t xml:space="preserve">NEVI </w:t>
    </w:r>
    <w:r>
      <w:rPr>
        <w:rFonts w:ascii="Times New Roman" w:hAnsi="Times New Roman"/>
        <w:sz w:val="18"/>
      </w:rPr>
      <w:t>Memorandum</w:t>
    </w:r>
    <w:r w:rsidRPr="00295D46">
      <w:rPr>
        <w:rFonts w:ascii="Times New Roman" w:hAnsi="Times New Roman"/>
        <w:sz w:val="18"/>
      </w:rPr>
      <w:t xml:space="preserve"> of Understanding Between</w:t>
    </w:r>
    <w:r w:rsidRPr="00003C1A">
      <w:rPr>
        <w:rFonts w:ascii="Times New Roman" w:hAnsi="Times New Roman"/>
        <w:sz w:val="18"/>
      </w:rPr>
      <w:t xml:space="preserve"> </w:t>
    </w:r>
    <w:r w:rsidR="00BE5D1F" w:rsidRPr="00BE5D1F">
      <w:rPr>
        <w:rFonts w:ascii="Times New Roman" w:hAnsi="Times New Roman"/>
        <w:sz w:val="18"/>
        <w:highlight w:val="green"/>
      </w:rPr>
      <w:t>Sponsor</w:t>
    </w:r>
    <w:r w:rsidR="005D66E4">
      <w:rPr>
        <w:rFonts w:ascii="Times New Roman" w:hAnsi="Times New Roman"/>
        <w:sz w:val="18"/>
      </w:rPr>
      <w:t xml:space="preserve"> </w:t>
    </w:r>
    <w:r w:rsidRPr="00295D46">
      <w:rPr>
        <w:rFonts w:ascii="Times New Roman" w:hAnsi="Times New Roman"/>
        <w:sz w:val="18"/>
      </w:rPr>
      <w:t xml:space="preserve">and </w:t>
    </w:r>
    <w:r w:rsidR="00BE5D1F" w:rsidRPr="00BE5D1F">
      <w:rPr>
        <w:rFonts w:ascii="Times New Roman" w:hAnsi="Times New Roman"/>
        <w:sz w:val="18"/>
        <w:highlight w:val="green"/>
      </w:rPr>
      <w:t>Site Host</w:t>
    </w:r>
  </w:p>
  <w:p w14:paraId="606F0F31" w14:textId="68C6F870" w:rsidR="00B04F2F" w:rsidRPr="00657F57" w:rsidRDefault="00B04F2F" w:rsidP="00C867AC">
    <w:pPr>
      <w:pStyle w:val="Header"/>
      <w:tabs>
        <w:tab w:val="clear" w:pos="4680"/>
        <w:tab w:val="left" w:pos="9270"/>
      </w:tabs>
      <w:spacing w:before="80"/>
      <w:ind w:right="144"/>
      <w:jc w:val="right"/>
      <w:rPr>
        <w:rFonts w:ascii="Times New Roman" w:hAnsi="Times New Roman"/>
        <w:sz w:val="18"/>
      </w:rPr>
    </w:pPr>
    <w:r>
      <w:rPr>
        <w:rFonts w:ascii="Times New Roman" w:hAnsi="Times New Roman"/>
        <w:sz w:val="18"/>
      </w:rPr>
      <w:t>Form LPA-043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3DD6" w14:textId="389EA756" w:rsidR="001D678A" w:rsidRPr="005D66E4" w:rsidRDefault="00A66D4A" w:rsidP="00C867AC">
    <w:pPr>
      <w:pStyle w:val="Header"/>
      <w:tabs>
        <w:tab w:val="clear" w:pos="4680"/>
      </w:tabs>
      <w:spacing w:line="240" w:lineRule="auto"/>
      <w:jc w:val="right"/>
      <w:rPr>
        <w:rFonts w:ascii="Times New Roman" w:hAnsi="Times New Roman"/>
        <w:sz w:val="18"/>
      </w:rPr>
    </w:pPr>
    <w:r w:rsidRPr="00C867AC">
      <w:rPr>
        <w:rFonts w:ascii="Times New Roman" w:hAnsi="Times New Roman"/>
        <w:sz w:val="18"/>
      </w:rPr>
      <w:t xml:space="preserve">Form </w:t>
    </w:r>
    <w:r w:rsidR="005D66E4">
      <w:rPr>
        <w:rFonts w:ascii="Times New Roman" w:hAnsi="Times New Roman"/>
        <w:sz w:val="18"/>
      </w:rPr>
      <w:t>LPA</w:t>
    </w:r>
    <w:r w:rsidRPr="00C867AC">
      <w:rPr>
        <w:rFonts w:ascii="Times New Roman" w:hAnsi="Times New Roman"/>
        <w:sz w:val="18"/>
      </w:rPr>
      <w:t>-043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5C33"/>
    <w:multiLevelType w:val="multilevel"/>
    <w:tmpl w:val="403249C8"/>
    <w:lvl w:ilvl="0">
      <w:start w:val="1"/>
      <w:numFmt w:val="decimal"/>
      <w:lvlText w:val="Article %1."/>
      <w:lvlJc w:val="left"/>
      <w:pPr>
        <w:ind w:left="0" w:firstLine="0"/>
      </w:pPr>
      <w:rPr>
        <w:rFonts w:ascii="Times New Roman Bold" w:hAnsi="Times New Roman Bold" w:hint="default"/>
        <w:b/>
        <w:i w:val="0"/>
        <w:caps/>
        <w:color w:val="auto"/>
        <w:sz w:val="24"/>
      </w:rPr>
    </w:lvl>
    <w:lvl w:ilvl="1">
      <w:start w:val="1"/>
      <w:numFmt w:val="decimal"/>
      <w:lvlText w:val="%1.%2"/>
      <w:lvlJc w:val="left"/>
      <w:pPr>
        <w:ind w:left="0" w:firstLine="720"/>
      </w:pPr>
      <w:rPr>
        <w:rFonts w:ascii="Times New Roman" w:hAnsi="Times New Roman" w:cs="Times New Roman" w:hint="default"/>
        <w:b/>
        <w:bCs/>
        <w:sz w:val="24"/>
        <w:szCs w:val="24"/>
      </w:rPr>
    </w:lvl>
    <w:lvl w:ilvl="2">
      <w:start w:val="1"/>
      <w:numFmt w:val="decimal"/>
      <w:lvlText w:val="%1.%2.%3"/>
      <w:lvlJc w:val="left"/>
      <w:pPr>
        <w:ind w:left="0" w:firstLine="144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3">
      <w:start w:val="1"/>
      <w:numFmt w:val="decimal"/>
      <w:lvlText w:val="%1.%2.%3.%4"/>
      <w:lvlJc w:val="left"/>
      <w:pPr>
        <w:ind w:left="540" w:firstLine="1440"/>
      </w:pPr>
      <w:rPr>
        <w:rFonts w:hint="default"/>
        <w:b/>
        <w:i w:val="0"/>
      </w:rPr>
    </w:lvl>
    <w:lvl w:ilvl="4">
      <w:start w:val="1"/>
      <w:numFmt w:val="lowerLetter"/>
      <w:lvlText w:val="(%5)"/>
      <w:lvlJc w:val="left"/>
      <w:pPr>
        <w:tabs>
          <w:tab w:val="num" w:pos="3600"/>
        </w:tabs>
        <w:ind w:left="0" w:firstLine="3600"/>
      </w:pPr>
      <w:rPr>
        <w:rFonts w:hint="default"/>
      </w:rPr>
    </w:lvl>
    <w:lvl w:ilvl="5">
      <w:start w:val="1"/>
      <w:numFmt w:val="lowerLetter"/>
      <w:lvlText w:val="%6."/>
      <w:lvlJc w:val="left"/>
      <w:pPr>
        <w:ind w:left="0" w:firstLine="2880"/>
      </w:pPr>
      <w:rPr>
        <w:rFonts w:hint="default"/>
        <w:b w:val="0"/>
        <w:i w:val="0"/>
      </w:rPr>
    </w:lvl>
    <w:lvl w:ilvl="6">
      <w:start w:val="1"/>
      <w:numFmt w:val="decimal"/>
      <w:suff w:val="space"/>
      <w:lvlText w:val="%1.%2.%3.%7"/>
      <w:lvlJc w:val="left"/>
      <w:pPr>
        <w:ind w:left="0" w:firstLine="2160"/>
      </w:pPr>
      <w:rPr>
        <w:rFonts w:hint="default"/>
        <w:b/>
        <w:i w:val="0"/>
      </w:rPr>
    </w:lvl>
    <w:lvl w:ilvl="7">
      <w:start w:val="1"/>
      <w:numFmt w:val="decimal"/>
      <w:suff w:val="nothing"/>
      <w:lvlText w:val="%8."/>
      <w:lvlJc w:val="left"/>
      <w:pPr>
        <w:ind w:left="6480" w:hanging="720"/>
      </w:pPr>
      <w:rPr>
        <w:rFonts w:hint="default"/>
      </w:rPr>
    </w:lvl>
    <w:lvl w:ilvl="8">
      <w:start w:val="1"/>
      <w:numFmt w:val="lowerRoman"/>
      <w:suff w:val="nothing"/>
      <w:lvlText w:val="%9."/>
      <w:lvlJc w:val="left"/>
      <w:pPr>
        <w:ind w:left="7200" w:hanging="720"/>
      </w:pPr>
      <w:rPr>
        <w:rFonts w:hint="default"/>
      </w:rPr>
    </w:lvl>
  </w:abstractNum>
  <w:num w:numId="1" w16cid:durableId="81634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8D"/>
    <w:rsid w:val="00010E1E"/>
    <w:rsid w:val="000412F1"/>
    <w:rsid w:val="00066749"/>
    <w:rsid w:val="000A526A"/>
    <w:rsid w:val="000C6CCF"/>
    <w:rsid w:val="000E4E46"/>
    <w:rsid w:val="000F38D7"/>
    <w:rsid w:val="000F54B3"/>
    <w:rsid w:val="001358D5"/>
    <w:rsid w:val="001C4947"/>
    <w:rsid w:val="001D678A"/>
    <w:rsid w:val="00225576"/>
    <w:rsid w:val="002315DA"/>
    <w:rsid w:val="002614C2"/>
    <w:rsid w:val="002650D7"/>
    <w:rsid w:val="0026782F"/>
    <w:rsid w:val="00287853"/>
    <w:rsid w:val="002912B0"/>
    <w:rsid w:val="002C6E9F"/>
    <w:rsid w:val="002D1BDC"/>
    <w:rsid w:val="002F134F"/>
    <w:rsid w:val="002F13DF"/>
    <w:rsid w:val="00305FBB"/>
    <w:rsid w:val="00310B5F"/>
    <w:rsid w:val="003167CC"/>
    <w:rsid w:val="00332371"/>
    <w:rsid w:val="00371F57"/>
    <w:rsid w:val="0037371E"/>
    <w:rsid w:val="00380C63"/>
    <w:rsid w:val="003A4E07"/>
    <w:rsid w:val="00404F22"/>
    <w:rsid w:val="004213DD"/>
    <w:rsid w:val="00423D86"/>
    <w:rsid w:val="00433C4E"/>
    <w:rsid w:val="004351CE"/>
    <w:rsid w:val="004B7476"/>
    <w:rsid w:val="004F69CD"/>
    <w:rsid w:val="00523A6A"/>
    <w:rsid w:val="00564DBF"/>
    <w:rsid w:val="00571F4A"/>
    <w:rsid w:val="005A6C85"/>
    <w:rsid w:val="005A75B2"/>
    <w:rsid w:val="005B70AD"/>
    <w:rsid w:val="005D66E4"/>
    <w:rsid w:val="005F0174"/>
    <w:rsid w:val="00622A84"/>
    <w:rsid w:val="00624979"/>
    <w:rsid w:val="006417A1"/>
    <w:rsid w:val="00661A70"/>
    <w:rsid w:val="00693057"/>
    <w:rsid w:val="006C3FC3"/>
    <w:rsid w:val="006D0BA5"/>
    <w:rsid w:val="006D12CF"/>
    <w:rsid w:val="006E2DC6"/>
    <w:rsid w:val="006E33F8"/>
    <w:rsid w:val="006E7130"/>
    <w:rsid w:val="00702B54"/>
    <w:rsid w:val="00702F42"/>
    <w:rsid w:val="00710650"/>
    <w:rsid w:val="00761387"/>
    <w:rsid w:val="0079405A"/>
    <w:rsid w:val="007B3F16"/>
    <w:rsid w:val="007C6F49"/>
    <w:rsid w:val="008047AE"/>
    <w:rsid w:val="0082268A"/>
    <w:rsid w:val="00825BF5"/>
    <w:rsid w:val="00837122"/>
    <w:rsid w:val="00854056"/>
    <w:rsid w:val="00864983"/>
    <w:rsid w:val="00884DAD"/>
    <w:rsid w:val="008C3380"/>
    <w:rsid w:val="008D286F"/>
    <w:rsid w:val="008E28A1"/>
    <w:rsid w:val="009840A6"/>
    <w:rsid w:val="0099268D"/>
    <w:rsid w:val="009C4C6C"/>
    <w:rsid w:val="009E4EC8"/>
    <w:rsid w:val="00A02101"/>
    <w:rsid w:val="00A07F5E"/>
    <w:rsid w:val="00A3162E"/>
    <w:rsid w:val="00A615D6"/>
    <w:rsid w:val="00A66D4A"/>
    <w:rsid w:val="00A9452B"/>
    <w:rsid w:val="00AD0A4B"/>
    <w:rsid w:val="00AE0C87"/>
    <w:rsid w:val="00B04F2F"/>
    <w:rsid w:val="00BC4157"/>
    <w:rsid w:val="00BC6567"/>
    <w:rsid w:val="00BE5D1F"/>
    <w:rsid w:val="00C00816"/>
    <w:rsid w:val="00C259F3"/>
    <w:rsid w:val="00C7161E"/>
    <w:rsid w:val="00C867AC"/>
    <w:rsid w:val="00CA6D59"/>
    <w:rsid w:val="00CD6871"/>
    <w:rsid w:val="00D01A86"/>
    <w:rsid w:val="00D24C48"/>
    <w:rsid w:val="00D74D59"/>
    <w:rsid w:val="00DA09BF"/>
    <w:rsid w:val="00DD6D4B"/>
    <w:rsid w:val="00E1002A"/>
    <w:rsid w:val="00E12905"/>
    <w:rsid w:val="00E12FE5"/>
    <w:rsid w:val="00E5492F"/>
    <w:rsid w:val="00E714FD"/>
    <w:rsid w:val="00E7340B"/>
    <w:rsid w:val="00EB232D"/>
    <w:rsid w:val="00EC2B62"/>
    <w:rsid w:val="00F50BB3"/>
    <w:rsid w:val="00F97052"/>
    <w:rsid w:val="00FB40AC"/>
    <w:rsid w:val="00FB4C4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0F3EA"/>
  <w15:chartTrackingRefBased/>
  <w15:docId w15:val="{198BCF61-957D-42C1-9EB9-A8024302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7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92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8D"/>
    <w:rPr>
      <w:rFonts w:eastAsiaTheme="majorEastAsia" w:cstheme="majorBidi"/>
      <w:color w:val="272727" w:themeColor="text1" w:themeTint="D8"/>
    </w:rPr>
  </w:style>
  <w:style w:type="paragraph" w:styleId="Title">
    <w:name w:val="Title"/>
    <w:basedOn w:val="Normal"/>
    <w:next w:val="Normal"/>
    <w:link w:val="TitleChar"/>
    <w:uiPriority w:val="10"/>
    <w:qFormat/>
    <w:rsid w:val="00992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8D"/>
    <w:pPr>
      <w:spacing w:before="160"/>
      <w:jc w:val="center"/>
    </w:pPr>
    <w:rPr>
      <w:i/>
      <w:iCs/>
      <w:color w:val="404040" w:themeColor="text1" w:themeTint="BF"/>
    </w:rPr>
  </w:style>
  <w:style w:type="character" w:customStyle="1" w:styleId="QuoteChar">
    <w:name w:val="Quote Char"/>
    <w:basedOn w:val="DefaultParagraphFont"/>
    <w:link w:val="Quote"/>
    <w:uiPriority w:val="29"/>
    <w:rsid w:val="0099268D"/>
    <w:rPr>
      <w:i/>
      <w:iCs/>
      <w:color w:val="404040" w:themeColor="text1" w:themeTint="BF"/>
    </w:rPr>
  </w:style>
  <w:style w:type="paragraph" w:styleId="ListParagraph">
    <w:name w:val="List Paragraph"/>
    <w:basedOn w:val="Normal"/>
    <w:link w:val="ListParagraphChar"/>
    <w:uiPriority w:val="34"/>
    <w:qFormat/>
    <w:rsid w:val="0099268D"/>
    <w:pPr>
      <w:ind w:left="720"/>
      <w:contextualSpacing/>
    </w:pPr>
  </w:style>
  <w:style w:type="character" w:styleId="IntenseEmphasis">
    <w:name w:val="Intense Emphasis"/>
    <w:basedOn w:val="DefaultParagraphFont"/>
    <w:uiPriority w:val="21"/>
    <w:qFormat/>
    <w:rsid w:val="0099268D"/>
    <w:rPr>
      <w:i/>
      <w:iCs/>
      <w:color w:val="0F4761" w:themeColor="accent1" w:themeShade="BF"/>
    </w:rPr>
  </w:style>
  <w:style w:type="paragraph" w:styleId="IntenseQuote">
    <w:name w:val="Intense Quote"/>
    <w:basedOn w:val="Normal"/>
    <w:next w:val="Normal"/>
    <w:link w:val="IntenseQuoteChar"/>
    <w:uiPriority w:val="30"/>
    <w:qFormat/>
    <w:rsid w:val="00992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8D"/>
    <w:rPr>
      <w:i/>
      <w:iCs/>
      <w:color w:val="0F4761" w:themeColor="accent1" w:themeShade="BF"/>
    </w:rPr>
  </w:style>
  <w:style w:type="character" w:styleId="IntenseReference">
    <w:name w:val="Intense Reference"/>
    <w:basedOn w:val="DefaultParagraphFont"/>
    <w:uiPriority w:val="32"/>
    <w:qFormat/>
    <w:rsid w:val="0099268D"/>
    <w:rPr>
      <w:b/>
      <w:bCs/>
      <w:smallCaps/>
      <w:color w:val="0F4761" w:themeColor="accent1" w:themeShade="BF"/>
      <w:spacing w:val="5"/>
    </w:rPr>
  </w:style>
  <w:style w:type="paragraph" w:styleId="Header">
    <w:name w:val="header"/>
    <w:basedOn w:val="Normal"/>
    <w:link w:val="HeaderChar"/>
    <w:uiPriority w:val="99"/>
    <w:unhideWhenUsed/>
    <w:rsid w:val="00624979"/>
    <w:pPr>
      <w:tabs>
        <w:tab w:val="center" w:pos="4680"/>
        <w:tab w:val="right" w:pos="9360"/>
      </w:tabs>
    </w:pPr>
  </w:style>
  <w:style w:type="character" w:customStyle="1" w:styleId="HeaderChar">
    <w:name w:val="Header Char"/>
    <w:basedOn w:val="DefaultParagraphFont"/>
    <w:link w:val="Header"/>
    <w:uiPriority w:val="99"/>
    <w:rsid w:val="00624979"/>
    <w:rPr>
      <w:rFonts w:ascii="Calibri" w:eastAsia="Calibri" w:hAnsi="Calibri" w:cs="Times New Roman"/>
    </w:rPr>
  </w:style>
  <w:style w:type="paragraph" w:styleId="Footer">
    <w:name w:val="footer"/>
    <w:basedOn w:val="Normal"/>
    <w:link w:val="FooterChar"/>
    <w:uiPriority w:val="99"/>
    <w:unhideWhenUsed/>
    <w:rsid w:val="00624979"/>
    <w:pPr>
      <w:tabs>
        <w:tab w:val="center" w:pos="4680"/>
        <w:tab w:val="right" w:pos="9360"/>
      </w:tabs>
    </w:pPr>
  </w:style>
  <w:style w:type="character" w:customStyle="1" w:styleId="FooterChar">
    <w:name w:val="Footer Char"/>
    <w:basedOn w:val="DefaultParagraphFont"/>
    <w:link w:val="Footer"/>
    <w:uiPriority w:val="99"/>
    <w:rsid w:val="00624979"/>
    <w:rPr>
      <w:rFonts w:ascii="Calibri" w:eastAsia="Calibri" w:hAnsi="Calibri" w:cs="Times New Roman"/>
    </w:rPr>
  </w:style>
  <w:style w:type="character" w:styleId="CommentReference">
    <w:name w:val="annotation reference"/>
    <w:basedOn w:val="DefaultParagraphFont"/>
    <w:uiPriority w:val="99"/>
    <w:semiHidden/>
    <w:unhideWhenUsed/>
    <w:rsid w:val="00624979"/>
    <w:rPr>
      <w:sz w:val="16"/>
      <w:szCs w:val="16"/>
    </w:rPr>
  </w:style>
  <w:style w:type="paragraph" w:styleId="CommentText">
    <w:name w:val="annotation text"/>
    <w:basedOn w:val="Normal"/>
    <w:link w:val="CommentTextChar"/>
    <w:uiPriority w:val="99"/>
    <w:unhideWhenUsed/>
    <w:rsid w:val="00624979"/>
    <w:pPr>
      <w:spacing w:line="240" w:lineRule="auto"/>
    </w:pPr>
    <w:rPr>
      <w:sz w:val="20"/>
      <w:szCs w:val="20"/>
    </w:rPr>
  </w:style>
  <w:style w:type="character" w:customStyle="1" w:styleId="CommentTextChar">
    <w:name w:val="Comment Text Char"/>
    <w:basedOn w:val="DefaultParagraphFont"/>
    <w:link w:val="CommentText"/>
    <w:uiPriority w:val="99"/>
    <w:rsid w:val="00624979"/>
    <w:rPr>
      <w:rFonts w:ascii="Calibri" w:eastAsia="Calibri" w:hAnsi="Calibri" w:cs="Times New Roman"/>
      <w:sz w:val="20"/>
      <w:szCs w:val="20"/>
    </w:rPr>
  </w:style>
  <w:style w:type="character" w:styleId="FootnoteReference">
    <w:name w:val="footnote reference"/>
    <w:aliases w:val="Style 75,Style 79"/>
    <w:basedOn w:val="DefaultParagraphFont"/>
    <w:uiPriority w:val="99"/>
    <w:unhideWhenUsed/>
    <w:rsid w:val="00624979"/>
    <w:rPr>
      <w:vertAlign w:val="superscript"/>
    </w:rPr>
  </w:style>
  <w:style w:type="character" w:customStyle="1" w:styleId="ListParagraphChar">
    <w:name w:val="List Paragraph Char"/>
    <w:link w:val="ListParagraph"/>
    <w:uiPriority w:val="34"/>
    <w:rsid w:val="00624979"/>
  </w:style>
  <w:style w:type="paragraph" w:customStyle="1" w:styleId="Level2">
    <w:name w:val="Level 2"/>
    <w:basedOn w:val="Normal"/>
    <w:qFormat/>
    <w:rsid w:val="00624979"/>
    <w:pPr>
      <w:keepNext/>
      <w:spacing w:after="240" w:line="240" w:lineRule="auto"/>
      <w:ind w:firstLine="720"/>
      <w:jc w:val="both"/>
      <w:outlineLvl w:val="1"/>
    </w:pPr>
    <w:rPr>
      <w:rFonts w:ascii="Times New Roman" w:eastAsiaTheme="minorHAnsi" w:hAnsi="Times New Roman"/>
      <w:b/>
      <w:sz w:val="24"/>
      <w:szCs w:val="24"/>
    </w:rPr>
  </w:style>
  <w:style w:type="paragraph" w:customStyle="1" w:styleId="Level3">
    <w:name w:val="Level 3"/>
    <w:basedOn w:val="Normal"/>
    <w:qFormat/>
    <w:rsid w:val="00624979"/>
    <w:pPr>
      <w:tabs>
        <w:tab w:val="left" w:pos="1584"/>
      </w:tabs>
      <w:spacing w:after="240" w:line="240" w:lineRule="auto"/>
      <w:ind w:firstLine="1440"/>
      <w:jc w:val="both"/>
      <w:outlineLvl w:val="2"/>
    </w:pPr>
    <w:rPr>
      <w:rFonts w:ascii="Times New Roman" w:eastAsiaTheme="minorHAnsi" w:hAnsi="Times New Roman"/>
      <w:sz w:val="24"/>
      <w:szCs w:val="24"/>
    </w:rPr>
  </w:style>
  <w:style w:type="paragraph" w:styleId="Revision">
    <w:name w:val="Revision"/>
    <w:hidden/>
    <w:uiPriority w:val="99"/>
    <w:semiHidden/>
    <w:rsid w:val="006E33F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Pinedo, Aaron</dc:creator>
  <cp:keywords/>
  <dc:description/>
  <cp:lastModifiedBy>Pinedo, Aaron</cp:lastModifiedBy>
  <cp:revision>3</cp:revision>
  <cp:lastPrinted>2025-11-06T21:17:00Z</cp:lastPrinted>
  <dcterms:created xsi:type="dcterms:W3CDTF">2026-06-10T11:13:00Z</dcterms:created>
  <dcterms:modified xsi:type="dcterms:W3CDTF">2026-06-10T11:16:00Z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91d5ebd1f507f03782f200d89101812825f661fca491f231329d86e1dc139a05</vt:lpwstr>
  </property>
</Properties>
</file>